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0"/>
        <w:spacing w:after="200"/>
        <w:jc w:val="left"/>
        <w:rPr>
          <w:b/>
          <w:sz w:val="32"/>
          <w:szCs w:val="32"/>
          <w:lang w:val="en-US"/>
        </w:rPr>
      </w:pPr>
      <w:bookmarkStart w:id="0" w:name="_tn0af3tfba7w" w:colFirst="0" w:colLast="0"/>
      <w:bookmarkEnd w:id="0"/>
      <w:r>
        <w:rPr>
          <w:b/>
          <w:sz w:val="32"/>
          <w:szCs w:val="32"/>
          <w:lang w:val="en-US"/>
        </w:rPr>
        <w:t>Breadfruit (</w:t>
      </w:r>
      <w:r>
        <w:rPr>
          <w:b/>
          <w:i/>
          <w:iCs/>
          <w:sz w:val="32"/>
          <w:szCs w:val="32"/>
          <w:lang w:val="en-US"/>
        </w:rPr>
        <w:t>Artocarpus altilis)</w:t>
      </w:r>
      <w:r>
        <w:rPr>
          <w:b/>
          <w:sz w:val="32"/>
          <w:szCs w:val="32"/>
        </w:rPr>
        <w:t xml:space="preserve"> </w:t>
      </w:r>
      <w:r>
        <w:rPr>
          <w:b/>
          <w:sz w:val="32"/>
          <w:szCs w:val="32"/>
          <w:lang w:val="en-US"/>
        </w:rPr>
        <w:t>contains some promising inhibitors of the</w:t>
      </w:r>
      <w:r>
        <w:rPr>
          <w:b/>
          <w:sz w:val="32"/>
          <w:szCs w:val="32"/>
        </w:rPr>
        <w:t xml:space="preserve"> </w:t>
      </w:r>
      <w:r>
        <w:rPr>
          <w:b/>
          <w:sz w:val="32"/>
          <w:szCs w:val="32"/>
          <w:lang w:val="en-US"/>
        </w:rPr>
        <w:t>M</w:t>
      </w:r>
      <w:r>
        <w:rPr>
          <w:b/>
          <w:sz w:val="32"/>
          <w:szCs w:val="32"/>
          <w:vertAlign w:val="superscript"/>
          <w:lang w:val="en-US"/>
        </w:rPr>
        <w:t>pro</w:t>
      </w:r>
      <w:r>
        <w:rPr>
          <w:b/>
          <w:sz w:val="32"/>
          <w:szCs w:val="32"/>
        </w:rPr>
        <w:t xml:space="preserve"> </w:t>
      </w:r>
      <w:r>
        <w:rPr>
          <w:b/>
          <w:sz w:val="32"/>
          <w:szCs w:val="32"/>
          <w:lang w:val="en-US"/>
        </w:rPr>
        <w:t xml:space="preserve">enzyme </w:t>
      </w:r>
      <w:r>
        <w:rPr>
          <w:b/>
          <w:sz w:val="32"/>
          <w:szCs w:val="32"/>
        </w:rPr>
        <w:t>of SARS-CoV-2</w:t>
      </w:r>
      <w:r>
        <w:rPr>
          <w:b/>
          <w:sz w:val="32"/>
          <w:szCs w:val="32"/>
          <w:lang w:val="en-US"/>
        </w:rPr>
        <w:t xml:space="preserve">: an </w:t>
      </w:r>
      <w:r>
        <w:rPr>
          <w:b/>
          <w:i/>
          <w:iCs/>
          <w:sz w:val="32"/>
          <w:szCs w:val="32"/>
          <w:lang w:val="en-US"/>
        </w:rPr>
        <w:t>in silico</w:t>
      </w:r>
      <w:r>
        <w:rPr>
          <w:b/>
          <w:sz w:val="32"/>
          <w:szCs w:val="32"/>
          <w:lang w:val="en-US"/>
        </w:rPr>
        <w:t xml:space="preserve"> molecular docking and pharmacological analysis</w:t>
      </w:r>
    </w:p>
    <w:p>
      <w:pPr>
        <w:rPr>
          <w:b/>
        </w:rPr>
      </w:pPr>
      <w:r>
        <w:rPr>
          <w:b/>
          <w:lang w:val="en-US"/>
        </w:rPr>
        <w:t>Md Afif Ullah</w:t>
      </w:r>
      <w:r>
        <w:rPr>
          <w:b/>
          <w:vertAlign w:val="superscript"/>
        </w:rPr>
        <w:t>1</w:t>
      </w:r>
      <w:r>
        <w:rPr>
          <w:b/>
        </w:rPr>
        <w:t xml:space="preserve">, </w:t>
      </w:r>
      <w:r>
        <w:rPr>
          <w:b/>
          <w:lang w:val="en-US"/>
        </w:rPr>
        <w:t>Md Mehedy Hasan Miraz</w:t>
      </w:r>
      <w:r>
        <w:rPr>
          <w:b/>
          <w:vertAlign w:val="superscript"/>
        </w:rPr>
        <w:t>1</w:t>
      </w:r>
      <w:r>
        <w:rPr>
          <w:b/>
        </w:rPr>
        <w:t>, Nilay Saha</w:t>
      </w:r>
      <w:r>
        <w:rPr>
          <w:b/>
          <w:vertAlign w:val="superscript"/>
        </w:rPr>
        <w:t>1</w:t>
      </w:r>
      <w:r>
        <w:rPr>
          <w:b/>
        </w:rPr>
        <w:t>,</w:t>
      </w:r>
      <w:r>
        <w:rPr>
          <w:b/>
          <w:lang w:val="en-US"/>
        </w:rPr>
        <w:t xml:space="preserve"> </w:t>
      </w:r>
      <w:r>
        <w:rPr>
          <w:b/>
          <w:bCs/>
        </w:rPr>
        <w:t>Arghya Prosun Sarkar</w:t>
      </w:r>
      <w:r>
        <w:rPr>
          <w:b/>
          <w:bCs/>
          <w:vertAlign w:val="superscript"/>
        </w:rPr>
        <w:t>2</w:t>
      </w:r>
      <w:r>
        <w:rPr>
          <w:b/>
          <w:bCs/>
        </w:rPr>
        <w:t>, Bidduth Kumar Sarkar</w:t>
      </w:r>
      <w:r>
        <w:rPr>
          <w:b/>
          <w:bCs/>
          <w:vertAlign w:val="superscript"/>
        </w:rPr>
        <w:t xml:space="preserve">3 </w:t>
      </w:r>
      <w:r>
        <w:rPr>
          <w:b/>
        </w:rPr>
        <w:t>and Sukalyan Kumar Kundu</w:t>
      </w:r>
      <w:r>
        <w:rPr>
          <w:b/>
          <w:vertAlign w:val="superscript"/>
        </w:rPr>
        <w:t>1</w:t>
      </w:r>
      <w:r>
        <w:rPr>
          <w:b/>
          <w:vertAlign w:val="superscript"/>
          <w:lang w:val="en-US"/>
        </w:rPr>
        <w:t>,</w:t>
      </w:r>
      <w:r>
        <w:rPr>
          <w:b/>
          <w:vertAlign w:val="superscript"/>
        </w:rPr>
        <w:t>*</w:t>
      </w:r>
    </w:p>
    <w:p>
      <w:pPr>
        <w:spacing w:afterLines="50"/>
        <w:jc w:val="left"/>
        <w:rPr>
          <w:i/>
          <w:iCs/>
          <w:sz w:val="24"/>
          <w:szCs w:val="24"/>
        </w:rPr>
      </w:pPr>
      <w:r>
        <w:rPr>
          <w:i/>
          <w:iCs/>
          <w:sz w:val="24"/>
          <w:szCs w:val="24"/>
          <w:vertAlign w:val="superscript"/>
        </w:rPr>
        <w:t>1</w:t>
      </w:r>
      <w:r>
        <w:rPr>
          <w:i/>
          <w:iCs/>
          <w:sz w:val="24"/>
          <w:szCs w:val="24"/>
        </w:rPr>
        <w:t>Department of Pharmacy, Jahangirnagar University, Savar, Dhaka-1342, Bangladesh</w:t>
      </w:r>
    </w:p>
    <w:p>
      <w:pPr>
        <w:pStyle w:val="25"/>
        <w:spacing w:line="312" w:lineRule="auto"/>
        <w:jc w:val="left"/>
        <w:rPr>
          <w:i/>
          <w:iCs/>
        </w:rPr>
      </w:pPr>
      <w:r>
        <w:rPr>
          <w:i/>
          <w:iCs/>
          <w:vertAlign w:val="superscript"/>
        </w:rPr>
        <w:t>2</w:t>
      </w:r>
      <w:r>
        <w:rPr>
          <w:i/>
          <w:iCs/>
        </w:rPr>
        <w:t>Department of Pharmacy, Faculty of Biological Sciences, Islamic University, Kushtia, Bangladesh</w:t>
      </w:r>
    </w:p>
    <w:p>
      <w:pPr>
        <w:jc w:val="left"/>
        <w:rPr>
          <w:i/>
          <w:iCs/>
          <w:sz w:val="24"/>
          <w:szCs w:val="24"/>
        </w:rPr>
      </w:pPr>
      <w:r>
        <w:rPr>
          <w:i/>
          <w:iCs/>
          <w:sz w:val="24"/>
          <w:szCs w:val="24"/>
          <w:vertAlign w:val="superscript"/>
        </w:rPr>
        <w:t>3</w:t>
      </w:r>
      <w:r>
        <w:rPr>
          <w:i/>
          <w:iCs/>
          <w:sz w:val="24"/>
          <w:szCs w:val="24"/>
        </w:rPr>
        <w:t>Department of Pharmacy, Faculty of Science, Comilla University, Cumilla</w:t>
      </w:r>
    </w:p>
    <w:p>
      <w:pPr>
        <w:spacing w:before="240" w:after="0"/>
        <w:rPr>
          <w:b/>
        </w:rPr>
      </w:pPr>
      <w:r>
        <w:rPr>
          <w:b/>
        </w:rPr>
        <w:t xml:space="preserve"> * Corresponding Author</w:t>
      </w:r>
    </w:p>
    <w:p>
      <w:pPr>
        <w:spacing w:after="0"/>
      </w:pPr>
      <w:r>
        <w:t>Sukalyan Kumar Kundu</w:t>
      </w:r>
    </w:p>
    <w:p>
      <w:pPr>
        <w:spacing w:after="0"/>
        <w:rPr>
          <w:lang w:val="en-US"/>
        </w:rPr>
      </w:pPr>
      <w:r>
        <w:t xml:space="preserve">Department of Pharmacy, Jahangirnagar University </w:t>
      </w:r>
    </w:p>
    <w:p>
      <w:pPr>
        <w:spacing w:after="0"/>
      </w:pPr>
      <w:r>
        <w:t>Savar, Dhaka, Bangladesh.</w:t>
      </w:r>
    </w:p>
    <w:p>
      <w:pPr>
        <w:spacing w:after="0"/>
      </w:pPr>
      <w:r>
        <w:t>Email: skkbd415@juniv.edu</w:t>
      </w:r>
    </w:p>
    <w:p>
      <w:pPr>
        <w:spacing w:after="0"/>
      </w:pPr>
      <w:r>
        <w:t>Phone: +8801731291468</w:t>
      </w:r>
    </w:p>
    <w:p>
      <w:bookmarkStart w:id="1" w:name="_ajo095ecofn2" w:colFirst="0" w:colLast="0"/>
      <w:bookmarkEnd w:id="1"/>
    </w:p>
    <w:p>
      <w:pPr>
        <w:pStyle w:val="4"/>
      </w:pPr>
      <w:r>
        <w:t>Abstract</w:t>
      </w:r>
    </w:p>
    <w:p>
      <w:pPr>
        <w:spacing w:after="200"/>
      </w:pPr>
      <w:r>
        <w:rPr>
          <w:lang w:val="en-US"/>
        </w:rPr>
        <w:t xml:space="preserve">The world experienced a sudden outbreak of an abruptly emerging virus, </w:t>
      </w:r>
      <w:r>
        <w:t>SARS-CoV-2</w:t>
      </w:r>
      <w:r>
        <w:rPr>
          <w:lang w:val="en-US"/>
        </w:rPr>
        <w:t>,</w:t>
      </w:r>
      <w:r>
        <w:t xml:space="preserve"> in late December 2019 in the city of Wuhan, China.</w:t>
      </w:r>
      <w:r>
        <w:rPr>
          <w:lang w:val="en-US"/>
        </w:rPr>
        <w:t xml:space="preserve"> Within a few months, the resulting disease,</w:t>
      </w:r>
      <w:r>
        <w:t xml:space="preserve"> COVID-19, had </w:t>
      </w:r>
      <w:r>
        <w:rPr>
          <w:lang w:val="en-US"/>
        </w:rPr>
        <w:t>taken over</w:t>
      </w:r>
      <w:r>
        <w:t xml:space="preserve"> </w:t>
      </w:r>
      <w:r>
        <w:rPr>
          <w:lang w:val="en-US"/>
        </w:rPr>
        <w:t>a major portion of the world</w:t>
      </w:r>
      <w:r>
        <w:t xml:space="preserve">. </w:t>
      </w:r>
      <w:r>
        <w:rPr>
          <w:lang w:val="en-US"/>
        </w:rPr>
        <w:t>Researchers have since been working with the viral targets, aiming to unwrap an absolute cure. Because of the severity and concerns about the virus, we conducted a computational assessment of compounds derived from breadfruit (</w:t>
      </w:r>
      <w:r>
        <w:rPr>
          <w:i/>
          <w:iCs/>
          <w:lang w:val="en-US"/>
        </w:rPr>
        <w:t>Artocarpus altilis</w:t>
      </w:r>
      <w:r>
        <w:rPr>
          <w:lang w:val="en-US"/>
        </w:rPr>
        <w:t>) to study</w:t>
      </w:r>
      <w:r>
        <w:t>. Th</w:t>
      </w:r>
      <w:r>
        <w:rPr>
          <w:lang w:val="en-US"/>
        </w:rPr>
        <w:t>e</w:t>
      </w:r>
      <w:r>
        <w:t xml:space="preserve"> </w:t>
      </w:r>
      <w:r>
        <w:rPr>
          <w:lang w:val="en-US"/>
        </w:rPr>
        <w:t>assessment aims to</w:t>
      </w:r>
      <w:r>
        <w:t xml:space="preserve"> </w:t>
      </w:r>
      <w:r>
        <w:rPr>
          <w:lang w:val="en-US"/>
        </w:rPr>
        <w:t>unveil some promising</w:t>
      </w:r>
      <w:r>
        <w:t xml:space="preserve"> </w:t>
      </w:r>
      <w:r>
        <w:rPr>
          <w:lang w:val="en-US"/>
        </w:rPr>
        <w:t>compounds</w:t>
      </w:r>
      <w:r>
        <w:t xml:space="preserve"> </w:t>
      </w:r>
      <w:r>
        <w:rPr>
          <w:lang w:val="en-US"/>
        </w:rPr>
        <w:t>as inhibitors</w:t>
      </w:r>
      <w:r>
        <w:t xml:space="preserve"> of SARS-CoV-2. </w:t>
      </w:r>
      <w:r>
        <w:rPr>
          <w:lang w:val="en-US"/>
        </w:rPr>
        <w:t>We selected</w:t>
      </w:r>
      <w:r>
        <w:t xml:space="preserve"> the main protease (M</w:t>
      </w:r>
      <w:r>
        <w:rPr>
          <w:vertAlign w:val="superscript"/>
        </w:rPr>
        <w:t>pro</w:t>
      </w:r>
      <w:r>
        <w:t>) enzyme of SARS-CoV-2</w:t>
      </w:r>
      <w:r>
        <w:rPr>
          <w:lang w:val="en-US"/>
        </w:rPr>
        <w:t>, since this enzyme is responsible for the replication process of the virus</w:t>
      </w:r>
      <w:r>
        <w:t xml:space="preserve">. </w:t>
      </w:r>
      <w:r>
        <w:rPr>
          <w:lang w:val="en-US"/>
        </w:rPr>
        <w:t xml:space="preserve">Initially we had gone for a drug-likeness analysis to screen the most suitable compounds. Afterwards, molecular dockings were performed with the selected compounds from </w:t>
      </w:r>
      <w:r>
        <w:rPr>
          <w:i/>
          <w:iCs/>
          <w:lang w:val="en-US"/>
        </w:rPr>
        <w:t>A. altilis</w:t>
      </w:r>
      <w:r>
        <w:t>.</w:t>
      </w:r>
      <w:r>
        <w:rPr>
          <w:lang w:val="en-US"/>
        </w:rPr>
        <w:t xml:space="preserve"> Nirmatrelvir was taken as a standard inhibitor in this study, as it is an FDA approved drug in combination with ritonavir. In molecular docking, the test compounds, cycloartomunin, dihydrocycloartomunin, cycloartobiloxanthone, artomunoxanthentrione, and cycloartomunoxanthone exhibited binding affinities of −7.6, −7.7, −7.7, −8.3, and −8.1 kcal/mol, respectively. Nirmatrelvir showed an affinity of −8.1 kcal/mol while docking on the same server.</w:t>
      </w:r>
      <w:r>
        <w:t xml:space="preserve"> </w:t>
      </w:r>
      <w:r>
        <w:rPr>
          <w:lang w:val="en-US"/>
        </w:rPr>
        <w:t>Consequently</w:t>
      </w:r>
      <w:r>
        <w:t>,</w:t>
      </w:r>
      <w:r>
        <w:rPr>
          <w:lang w:val="en-US"/>
        </w:rPr>
        <w:t xml:space="preserve"> a pharmacological analysis was conducted with the top five test compounds compared with the standard inhibitor.</w:t>
      </w:r>
      <w:r>
        <w:t xml:space="preserve"> </w:t>
      </w:r>
      <w:r>
        <w:rPr>
          <w:lang w:val="en-US"/>
        </w:rPr>
        <w:t>A computational toxicity analysis was also involved in this assessment</w:t>
      </w:r>
      <w:r>
        <w:t xml:space="preserve">. </w:t>
      </w:r>
      <w:r>
        <w:rPr>
          <w:lang w:val="en-US"/>
        </w:rPr>
        <w:t>Finally, the test compounds were found to have promising docking outputs, and moderate pharmacological profiles.</w:t>
      </w:r>
      <w:r>
        <w:t xml:space="preserve"> </w:t>
      </w:r>
      <w:r>
        <w:rPr>
          <w:lang w:val="en-US"/>
        </w:rPr>
        <w:t>After all</w:t>
      </w:r>
      <w:r>
        <w:t xml:space="preserve">, this study </w:t>
      </w:r>
      <w:r>
        <w:rPr>
          <w:lang w:val="en-US"/>
        </w:rPr>
        <w:t>scrutinized the test compounds and suggests further</w:t>
      </w:r>
      <w:r>
        <w:t xml:space="preserve"> </w:t>
      </w:r>
      <w:r>
        <w:rPr>
          <w:lang w:val="en-US"/>
        </w:rPr>
        <w:t>validations</w:t>
      </w:r>
      <w:r>
        <w:t xml:space="preserve"> </w:t>
      </w:r>
      <w:r>
        <w:rPr>
          <w:lang w:val="en-US"/>
        </w:rPr>
        <w:t>to confirm the</w:t>
      </w:r>
      <w:r>
        <w:t xml:space="preserve"> </w:t>
      </w:r>
      <w:r>
        <w:rPr>
          <w:lang w:val="en-US"/>
        </w:rPr>
        <w:t>potentiality</w:t>
      </w:r>
      <w:r>
        <w:t xml:space="preserve"> </w:t>
      </w:r>
      <w:r>
        <w:rPr>
          <w:lang w:val="en-US"/>
        </w:rPr>
        <w:t>of the compounds inhibiting the</w:t>
      </w:r>
      <w:r>
        <w:t xml:space="preserve"> SARS-CoV-2</w:t>
      </w:r>
      <w:r>
        <w:rPr>
          <w:lang w:val="en-US"/>
        </w:rPr>
        <w:t xml:space="preserve"> M</w:t>
      </w:r>
      <w:r>
        <w:rPr>
          <w:vertAlign w:val="superscript"/>
          <w:lang w:val="en-US"/>
        </w:rPr>
        <w:t>pro</w:t>
      </w:r>
      <w:r>
        <w:rPr>
          <w:lang w:val="en-US"/>
        </w:rPr>
        <w:t xml:space="preserve"> enzyme</w:t>
      </w:r>
      <w:r>
        <w:t>.</w:t>
      </w:r>
    </w:p>
    <w:p>
      <w:pPr>
        <w:spacing w:after="200"/>
        <w:rPr>
          <w:lang w:val="en-US"/>
        </w:rPr>
      </w:pPr>
      <w:r>
        <w:rPr>
          <w:b/>
          <w:bCs/>
          <w:lang w:val="en-US"/>
        </w:rPr>
        <w:t>Keywords</w:t>
      </w:r>
      <w:r>
        <w:rPr>
          <w:lang w:val="en-US"/>
        </w:rPr>
        <w:t xml:space="preserve">: COVID-19, SARS-CoV-2, mpro, breadfruit, </w:t>
      </w:r>
      <w:r>
        <w:rPr>
          <w:i/>
          <w:iCs/>
          <w:lang w:val="en-US"/>
        </w:rPr>
        <w:t>Artocarpus altilis</w:t>
      </w:r>
      <w:r>
        <w:rPr>
          <w:lang w:val="en-US"/>
        </w:rPr>
        <w:t>, molecular docking.</w:t>
      </w:r>
      <w:bookmarkStart w:id="2" w:name="_kerd22uchl6i" w:colFirst="0" w:colLast="0"/>
      <w:bookmarkEnd w:id="2"/>
    </w:p>
    <w:p>
      <w:pPr>
        <w:spacing w:after="200"/>
        <w:rPr>
          <w:lang w:val="en-US"/>
        </w:rPr>
      </w:pPr>
    </w:p>
    <w:p>
      <w:bookmarkStart w:id="3" w:name="_laytuam0jd5y" w:colFirst="0" w:colLast="0"/>
      <w:bookmarkEnd w:id="3"/>
      <w:r>
        <w:br w:type="page"/>
      </w:r>
    </w:p>
    <w:p>
      <w:pPr>
        <w:pStyle w:val="4"/>
      </w:pPr>
      <w:r>
        <w:t>1. Introduction</w:t>
      </w:r>
    </w:p>
    <w:p>
      <w:r>
        <w:t>The SARS-CoV-2 outbreak in late 2019 and its global propagation have had substantial global consequences on public health, economics</w:t>
      </w:r>
      <w:r>
        <w:rPr>
          <w:lang w:val="en-US"/>
        </w:rPr>
        <w:t>,</w:t>
      </w:r>
      <w:r>
        <w:t xml:space="preserve"> and social aspects</w:t>
      </w:r>
      <w:r>
        <w:rPr>
          <w:lang w:val="en-US"/>
        </w:rPr>
        <w:t xml:space="preserve"> (Miyah et al., 2022)</w:t>
      </w:r>
      <w:r>
        <w:t>. SARS-CoV-2, also known as COVID-19, is a highly pathogenic virus that was discovered in Wuhan, China, near the end of 2019. Since then, it has swiftly spread over the world, and the World Health Organization (WHO) designated it a global pandemic in March 2020 (Patnaik, 2021)</w:t>
      </w:r>
      <w:r>
        <w:rPr>
          <w:lang w:val="en-US"/>
        </w:rPr>
        <w:t>.</w:t>
      </w:r>
      <w:r>
        <w:t xml:space="preserve"> As a result of the pandemic, many countries throughout the world imposed tight measures such as lockdowns and travel restrictions to prevent the spread of COVID-19 (Inoue &amp; Todo, 2020</w:t>
      </w:r>
      <w:r>
        <w:rPr>
          <w:lang w:val="en-US"/>
        </w:rPr>
        <w:t xml:space="preserve">; </w:t>
      </w:r>
      <w:r>
        <w:t>Zhong et al., 2021). Until April 15, 2023, the World Health Organization (WHO)</w:t>
      </w:r>
      <w:r>
        <w:rPr>
          <w:lang w:val="en-US"/>
        </w:rPr>
        <w:t xml:space="preserve"> had</w:t>
      </w:r>
      <w:r>
        <w:t xml:space="preserve"> recorded over 762 million COVID-19 cases globally</w:t>
      </w:r>
      <w:r>
        <w:rPr>
          <w:lang w:val="en-US"/>
        </w:rPr>
        <w:t xml:space="preserve"> (https://covid19.who.int/)</w:t>
      </w:r>
      <w:r>
        <w:t>. Regrettably, the aforementioned has led to a total of more than 6.84 million fatalities, which is a substantial figure in comparison to other diseases (WHO, 2023).</w:t>
      </w:r>
    </w:p>
    <w:p>
      <w:r>
        <w:t>The causative agent of COVID-19, SARS-CoV-2, is a positive-sense, single-stranded RNA virus belonging to the family of Coronaviridae (Hu et al., 2020)</w:t>
      </w:r>
      <w:r>
        <w:rPr>
          <w:lang w:val="en-US"/>
        </w:rPr>
        <w:t>.</w:t>
      </w:r>
      <w:r>
        <w:t xml:space="preserve"> The virus has a unique spike protein on its surface that binds to the human angiotensin-converting enzyme 2 (ACE2) receptor, facilitating its entry into host cells and subsequent replication (Deng et al., 2021)</w:t>
      </w:r>
      <w:r>
        <w:rPr>
          <w:lang w:val="en-US"/>
        </w:rPr>
        <w:t>.</w:t>
      </w:r>
      <w:r>
        <w:t xml:space="preserve"> The SARS-CoV-2 virus has undergone significant mutations, leading to the emergence of several new variants</w:t>
      </w:r>
      <w:r>
        <w:rPr>
          <w:lang w:val="en-US"/>
        </w:rPr>
        <w:t xml:space="preserve"> </w:t>
      </w:r>
      <w:r>
        <w:t>(WHO,</w:t>
      </w:r>
      <w:r>
        <w:rPr>
          <w:lang w:val="en-US"/>
        </w:rPr>
        <w:t xml:space="preserve"> </w:t>
      </w:r>
      <w:r>
        <w:t>2022</w:t>
      </w:r>
      <w:r>
        <w:rPr>
          <w:lang w:val="en-US"/>
        </w:rPr>
        <w:t>)</w:t>
      </w:r>
      <w:r>
        <w:t>.</w:t>
      </w:r>
    </w:p>
    <w:p>
      <w:pPr>
        <w:rPr>
          <w:szCs w:val="24"/>
          <w:lang w:val="en-US"/>
        </w:rPr>
      </w:pPr>
      <w:bookmarkStart w:id="4" w:name="_Hlk132597524"/>
      <w:r>
        <w:rPr>
          <w:szCs w:val="24"/>
        </w:rPr>
        <w:t xml:space="preserve">Among </w:t>
      </w:r>
      <w:r>
        <w:rPr>
          <w:szCs w:val="24"/>
          <w:lang w:val="en-US"/>
        </w:rPr>
        <w:t>the</w:t>
      </w:r>
      <w:r>
        <w:rPr>
          <w:szCs w:val="24"/>
        </w:rPr>
        <w:t xml:space="preserve"> proteins of SARS-CoV-2, the main protease (M</w:t>
      </w:r>
      <w:r>
        <w:rPr>
          <w:szCs w:val="24"/>
          <w:vertAlign w:val="superscript"/>
        </w:rPr>
        <w:t>pro</w:t>
      </w:r>
      <w:r>
        <w:rPr>
          <w:szCs w:val="24"/>
        </w:rPr>
        <w:t>)</w:t>
      </w:r>
      <w:r>
        <w:rPr>
          <w:szCs w:val="24"/>
          <w:lang w:val="en-US"/>
        </w:rPr>
        <w:t xml:space="preserve"> enzyme</w:t>
      </w:r>
      <w:r>
        <w:rPr>
          <w:szCs w:val="24"/>
        </w:rPr>
        <w:t xml:space="preserve"> plays a critical role in viral replication and is considered a promising drug target for therapeutic intervention against COVID-19 (Huynh et al., 2021)</w:t>
      </w:r>
      <w:r>
        <w:rPr>
          <w:szCs w:val="24"/>
          <w:lang w:val="en-US"/>
        </w:rPr>
        <w:t>.</w:t>
      </w:r>
      <w:r>
        <w:rPr>
          <w:szCs w:val="24"/>
        </w:rPr>
        <w:t xml:space="preserve"> M</w:t>
      </w:r>
      <w:r>
        <w:rPr>
          <w:szCs w:val="24"/>
          <w:vertAlign w:val="superscript"/>
        </w:rPr>
        <w:t>pro</w:t>
      </w:r>
      <w:r>
        <w:rPr>
          <w:szCs w:val="24"/>
        </w:rPr>
        <w:t>, also known as 3CL pro, is responsible for the proteolytic cleavage of the viral polypeptide during replication, which is essential for the production of functional viral proteins</w:t>
      </w:r>
      <w:r>
        <w:rPr>
          <w:szCs w:val="24"/>
          <w:lang w:val="en-US"/>
        </w:rPr>
        <w:t xml:space="preserve"> </w:t>
      </w:r>
      <w:r>
        <w:rPr>
          <w:szCs w:val="24"/>
        </w:rPr>
        <w:t>(Dharmashekara et al., 2021)</w:t>
      </w:r>
      <w:r>
        <w:rPr>
          <w:szCs w:val="24"/>
          <w:lang w:val="en-US"/>
        </w:rPr>
        <w:t>.</w:t>
      </w:r>
      <w:r>
        <w:rPr>
          <w:szCs w:val="24"/>
        </w:rPr>
        <w:t xml:space="preserve"> The inhibition of M</w:t>
      </w:r>
      <w:r>
        <w:rPr>
          <w:szCs w:val="24"/>
          <w:vertAlign w:val="superscript"/>
        </w:rPr>
        <w:t>pro</w:t>
      </w:r>
      <w:r>
        <w:rPr>
          <w:szCs w:val="24"/>
        </w:rPr>
        <w:t xml:space="preserve"> can potentially prevent viral replication and transmission, making it a valuable target for drug development against COVID-19. The structural and functional characteristics of M</w:t>
      </w:r>
      <w:r>
        <w:rPr>
          <w:szCs w:val="24"/>
          <w:vertAlign w:val="superscript"/>
        </w:rPr>
        <w:t>pro</w:t>
      </w:r>
      <w:r>
        <w:rPr>
          <w:szCs w:val="24"/>
        </w:rPr>
        <w:t xml:space="preserve"> have been extensively studied in recent times, leading to the development of several inhibitors targeting this protease. These inhibitors have shown effective inhibition of M</w:t>
      </w:r>
      <w:r>
        <w:rPr>
          <w:szCs w:val="24"/>
          <w:vertAlign w:val="superscript"/>
        </w:rPr>
        <w:t>pro</w:t>
      </w:r>
      <w:r>
        <w:rPr>
          <w:szCs w:val="24"/>
        </w:rPr>
        <w:t xml:space="preserve"> in vitro and in vivo, demonstrating their potential as a therapeutic option for treating COVID-19 (Li et al., 2021)</w:t>
      </w:r>
      <w:r>
        <w:rPr>
          <w:szCs w:val="24"/>
          <w:lang w:val="en-US"/>
        </w:rPr>
        <w:t>.</w:t>
      </w:r>
    </w:p>
    <w:p>
      <w:r>
        <w:rPr>
          <w:i/>
          <w:iCs/>
        </w:rPr>
        <w:t>Artocarpus altilis</w:t>
      </w:r>
      <w:bookmarkEnd w:id="4"/>
      <w:r>
        <w:t>, commonly referred to as breadfruit, belongs to the family Moraceae. It is a notable plant with a substantial therapeutic profile (</w:t>
      </w:r>
      <w:r>
        <w:rPr>
          <w:lang w:val="en-US"/>
        </w:rPr>
        <w:t>Sikarwar</w:t>
      </w:r>
      <w:r>
        <w:t xml:space="preserve"> et al., 2014)</w:t>
      </w:r>
      <w:r>
        <w:rPr>
          <w:lang w:val="en-US"/>
        </w:rPr>
        <w:t>.</w:t>
      </w:r>
      <w:r>
        <w:t xml:space="preserve"> Many ongoing studies are looking at the pharmacological effects of Artocarpus altilis. Anti-inflammatory activity, antifungal potential, sexual behavior study, immunomodulatory potential, anti-diabetic activity, antibacterial activity, anti-cholinergic effect, chelating activity, nutritional assessment, as </w:t>
      </w:r>
      <w:r>
        <w:rPr>
          <w:lang w:val="en-US"/>
        </w:rPr>
        <w:t xml:space="preserve">a </w:t>
      </w:r>
      <w:r>
        <w:t>cosmetic agent, ACE inhibitors, and other studies are being conducted on these plants</w:t>
      </w:r>
      <w:r>
        <w:rPr>
          <w:lang w:val="en-US"/>
        </w:rPr>
        <w:t>.</w:t>
      </w:r>
      <w:r>
        <w:t xml:space="preserve"> Surprisingly, the activity of this plant against </w:t>
      </w:r>
      <w:r>
        <w:rPr>
          <w:lang w:val="en-US"/>
        </w:rPr>
        <w:t>SARS-CoV-2</w:t>
      </w:r>
      <w:r>
        <w:t xml:space="preserve"> </w:t>
      </w:r>
      <w:r>
        <w:rPr>
          <w:lang w:val="en-US"/>
        </w:rPr>
        <w:t>was</w:t>
      </w:r>
      <w:r>
        <w:t xml:space="preserve"> previously undocumented in the literature. As a result,</w:t>
      </w:r>
      <w:r>
        <w:rPr>
          <w:lang w:val="en-US"/>
        </w:rPr>
        <w:t xml:space="preserve"> it</w:t>
      </w:r>
      <w:r>
        <w:t xml:space="preserve"> was chosen for this investigation to investigate its action against the targets of Omicron variant SARS-CoV-2.</w:t>
      </w:r>
    </w:p>
    <w:p>
      <w:r>
        <w:rPr>
          <w:lang w:val="en-US"/>
        </w:rPr>
        <w:t>N</w:t>
      </w:r>
      <w:r>
        <w:t>irmatrelvir–ritonavir (Paxlovid™), which has received Emergency Use Authorization by the Food and Drug Administration</w:t>
      </w:r>
      <w:r>
        <w:rPr>
          <w:lang w:val="en-US"/>
        </w:rPr>
        <w:t xml:space="preserve"> (FDA)</w:t>
      </w:r>
      <w:r>
        <w:t xml:space="preserve"> for the outpatient treatment of COVID-19 infection in adults</w:t>
      </w:r>
      <w:r>
        <w:rPr>
          <w:lang w:val="en-US"/>
        </w:rPr>
        <w:t xml:space="preserve"> </w:t>
      </w:r>
      <w:r>
        <w:t>(Gui et al., 2023)</w:t>
      </w:r>
      <w:r>
        <w:rPr>
          <w:lang w:val="en-US"/>
        </w:rPr>
        <w:t>.</w:t>
      </w:r>
      <w:r>
        <w:t xml:space="preserve"> Nirmatrelvir is a SARS-CoV-2 </w:t>
      </w:r>
      <w:r>
        <w:rPr>
          <w:lang w:val="en-US"/>
        </w:rPr>
        <w:t>M</w:t>
      </w:r>
      <w:r>
        <w:rPr>
          <w:vertAlign w:val="superscript"/>
          <w:lang w:val="en-US"/>
        </w:rPr>
        <w:t>pro</w:t>
      </w:r>
      <w:r>
        <w:rPr>
          <w:lang w:val="en-US"/>
        </w:rPr>
        <w:t xml:space="preserve"> </w:t>
      </w:r>
      <w:r>
        <w:t>inhibitor, which actively inhibits the viral replication process by blocking the virus from cleaving viral polyproteins into their functional parts, thus limiting the infection's spread in the body</w:t>
      </w:r>
      <w:r>
        <w:rPr>
          <w:lang w:val="en-US"/>
        </w:rPr>
        <w:t xml:space="preserve"> </w:t>
      </w:r>
      <w:r>
        <w:t>(Park et al., 2022)</w:t>
      </w:r>
      <w:r>
        <w:rPr>
          <w:lang w:val="en-US"/>
        </w:rPr>
        <w:t>.</w:t>
      </w:r>
      <w:r>
        <w:t xml:space="preserve"> Multiple studies have shown that nirmatrelvir–ritonavir has potent inhibitory activity against SARS-CoV-2 proteases, making it a promising candidate for COVID-19 treatment</w:t>
      </w:r>
      <w:r>
        <w:rPr>
          <w:lang w:val="en-US"/>
        </w:rPr>
        <w:t xml:space="preserve"> </w:t>
      </w:r>
      <w:r>
        <w:t>(Rodrigues et al., 2022)</w:t>
      </w:r>
      <w:r>
        <w:rPr>
          <w:lang w:val="en-US"/>
        </w:rPr>
        <w:t>.</w:t>
      </w:r>
      <w:r>
        <w:t xml:space="preserve"> A clinical trial by Pfizer, the developer of nirmatrelvir/ritonavir, reported that nirmatrelvir/ritonavir treatment reduced the risk of hospitalization or death by 89% in patients with mild to moderate COVID-19 symptoms</w:t>
      </w:r>
      <w:r>
        <w:rPr>
          <w:lang w:val="en-US"/>
        </w:rPr>
        <w:t xml:space="preserve"> </w:t>
      </w:r>
      <w:r>
        <w:t>(Huang et al., 2022)</w:t>
      </w:r>
      <w:r>
        <w:rPr>
          <w:lang w:val="en-US"/>
        </w:rPr>
        <w:t>.</w:t>
      </w:r>
      <w:r>
        <w:t xml:space="preserve"> Thus, </w:t>
      </w:r>
      <w:r>
        <w:rPr>
          <w:lang w:val="en-US"/>
        </w:rPr>
        <w:t>we have considered nirmatrelvir as a standard inhibitor in our assessment</w:t>
      </w:r>
      <w:r>
        <w:t>.</w:t>
      </w:r>
    </w:p>
    <w:p>
      <w:r>
        <w:t>Computer-aided drug design (CADD) is a computational method that uses various software tools and algorithms to create, optimize, and test new drugs before they can be synthesized and tested in the lab (Yu &amp; MacKerell, 2017)</w:t>
      </w:r>
      <w:r>
        <w:rPr>
          <w:lang w:val="en-US"/>
        </w:rPr>
        <w:t>.</w:t>
      </w:r>
      <w:r>
        <w:t xml:space="preserve"> In this computational </w:t>
      </w:r>
      <w:r>
        <w:rPr>
          <w:lang w:val="en-US"/>
        </w:rPr>
        <w:t>assessment,</w:t>
      </w:r>
      <w:r>
        <w:t xml:space="preserve"> we implemented molecular docking, pharmacokinetic and pharmacodynamic property studies to discover the best </w:t>
      </w:r>
      <w:r>
        <w:rPr>
          <w:lang w:val="en-US"/>
        </w:rPr>
        <w:t xml:space="preserve">possible drug </w:t>
      </w:r>
      <w:r>
        <w:t>candidate. Molecular docking provided us with information on each ligand</w:t>
      </w:r>
      <w:r>
        <w:rPr>
          <w:lang w:val="en-US"/>
        </w:rPr>
        <w:t>’</w:t>
      </w:r>
      <w:r>
        <w:t xml:space="preserve">s binding affinity, direction, and kind of interaction with the appropriate target proteins. The pharmacokinetic profiles were obtained in order to analyze data on the absorption, distribution, metabolism, and excretion (ADME) of chemicals that occur inside the body following medication delivery. To determine the LD50 values and toxicity classes of the various ligands, a toxicology </w:t>
      </w:r>
      <w:r>
        <w:rPr>
          <w:lang w:val="en-US"/>
        </w:rPr>
        <w:t>scrutiny</w:t>
      </w:r>
      <w:r>
        <w:t xml:space="preserve"> was conducted.</w:t>
      </w:r>
    </w:p>
    <w:p>
      <w:r>
        <w:t xml:space="preserve">In the current work, we used a screening method to filter out 10 phytochemical compounds from </w:t>
      </w:r>
      <w:r>
        <w:rPr>
          <w:i/>
          <w:iCs/>
        </w:rPr>
        <w:t>A.</w:t>
      </w:r>
      <w:r>
        <w:rPr>
          <w:i/>
          <w:iCs/>
          <w:lang w:val="en-US"/>
        </w:rPr>
        <w:t xml:space="preserve"> </w:t>
      </w:r>
      <w:r>
        <w:rPr>
          <w:i/>
          <w:iCs/>
        </w:rPr>
        <w:t>altilis</w:t>
      </w:r>
      <w:r>
        <w:t xml:space="preserve"> based on drug-likeness criteria. Through preliminary computational analysis, the compounds were examined </w:t>
      </w:r>
      <w:r>
        <w:rPr>
          <w:lang w:val="en-US"/>
        </w:rPr>
        <w:t xml:space="preserve">across </w:t>
      </w:r>
      <w:r>
        <w:t>a wide spectrum of studies.</w:t>
      </w:r>
      <w:r>
        <w:rPr>
          <w:lang w:val="en-US"/>
        </w:rPr>
        <w:t xml:space="preserve"> </w:t>
      </w:r>
      <w:r>
        <w:t xml:space="preserve">As a result, this framework evaluates and offers potential promising </w:t>
      </w:r>
      <w:r>
        <w:rPr>
          <w:i/>
          <w:iCs/>
        </w:rPr>
        <w:t>A.</w:t>
      </w:r>
      <w:r>
        <w:rPr>
          <w:i/>
          <w:iCs/>
          <w:lang w:val="en-US"/>
        </w:rPr>
        <w:t xml:space="preserve"> </w:t>
      </w:r>
      <w:r>
        <w:rPr>
          <w:i/>
          <w:iCs/>
        </w:rPr>
        <w:t>altilis</w:t>
      </w:r>
      <w:r>
        <w:t xml:space="preserve"> medication candidates against the SARSCoV-2 Omicron B.1.1.529 strain.</w:t>
      </w:r>
    </w:p>
    <w:p>
      <w:pPr>
        <w:pStyle w:val="4"/>
        <w:rPr>
          <w:color w:val="000000"/>
        </w:rPr>
      </w:pPr>
      <w:bookmarkStart w:id="5" w:name="_uv1zdkp6or7d" w:colFirst="0" w:colLast="0"/>
      <w:bookmarkEnd w:id="5"/>
      <w:r>
        <w:rPr>
          <w:color w:val="000000"/>
        </w:rPr>
        <w:t>2. Materials and Methods</w:t>
      </w:r>
    </w:p>
    <w:p>
      <w:pPr>
        <w:pStyle w:val="8"/>
        <w:rPr>
          <w:lang w:val="en-US"/>
        </w:rPr>
      </w:pPr>
      <w:bookmarkStart w:id="6" w:name="_5nnosu2o0bwm" w:colFirst="0" w:colLast="0"/>
      <w:bookmarkEnd w:id="6"/>
      <w:bookmarkStart w:id="7" w:name="_2amkg4fgdp2q" w:colFirst="0" w:colLast="0"/>
      <w:bookmarkEnd w:id="7"/>
      <w:r>
        <w:t>2.</w:t>
      </w:r>
      <w:r>
        <w:rPr>
          <w:lang w:val="en-US"/>
        </w:rPr>
        <w:t>1</w:t>
      </w:r>
      <w:r>
        <w:t xml:space="preserve">. </w:t>
      </w:r>
      <w:r>
        <w:rPr>
          <w:lang w:val="en-US"/>
        </w:rPr>
        <w:t>Selection and Preparation of Ligands</w:t>
      </w:r>
    </w:p>
    <w:p>
      <w:r>
        <w:t xml:space="preserve">A total of ten phytochemicals derived from </w:t>
      </w:r>
      <w:r>
        <w:rPr>
          <w:i/>
          <w:iCs/>
        </w:rPr>
        <w:t>Artocarpus altilis</w:t>
      </w:r>
      <w:r>
        <w:t xml:space="preserve"> were chosen for this investigation based on </w:t>
      </w:r>
      <w:r>
        <w:rPr>
          <w:lang w:val="en-US"/>
        </w:rPr>
        <w:t xml:space="preserve">their </w:t>
      </w:r>
      <w:r>
        <w:t>drug-likeness. The molecules were chosen using Lipinski</w:t>
      </w:r>
      <w:r>
        <w:rPr>
          <w:lang w:val="en-US"/>
        </w:rPr>
        <w:t>’</w:t>
      </w:r>
      <w:r>
        <w:t xml:space="preserve">s rule of five and Ghose </w:t>
      </w:r>
      <w:r>
        <w:rPr>
          <w:lang w:val="en-US"/>
        </w:rPr>
        <w:t>filter</w:t>
      </w:r>
      <w:r>
        <w:t xml:space="preserve"> (Ghose et al.,</w:t>
      </w:r>
      <w:r>
        <w:rPr>
          <w:lang w:val="en-US"/>
        </w:rPr>
        <w:t xml:space="preserve"> </w:t>
      </w:r>
      <w:r>
        <w:t>1999</w:t>
      </w:r>
      <w:r>
        <w:rPr>
          <w:lang w:val="en-US"/>
        </w:rPr>
        <w:t xml:space="preserve">; </w:t>
      </w:r>
      <w:r>
        <w:t>Lipinski et al.,</w:t>
      </w:r>
      <w:r>
        <w:rPr>
          <w:lang w:val="en-US"/>
        </w:rPr>
        <w:t xml:space="preserve"> </w:t>
      </w:r>
      <w:r>
        <w:t>1997). Only molecules that followed both rules were chosen for this investigation. The chosen ligands</w:t>
      </w:r>
      <w:r>
        <w:rPr>
          <w:lang w:val="en-US"/>
        </w:rPr>
        <w:t>’</w:t>
      </w:r>
      <w:r>
        <w:t xml:space="preserve"> 3D conformers were obtained in SDF format from the online databases PubChem (https://pubchem.ncbi.nlm.nih.gov/) and IMPPAT 2.0 (Indian Medicinal Plants, Phytochemistry, and Therapeutics; https://cb.imsc.res.in/imppat/)</w:t>
      </w:r>
      <w:r>
        <w:rPr>
          <w:lang w:val="en-US"/>
        </w:rPr>
        <w:t xml:space="preserve"> (Kim et al., 2016; Vivek-Ananth et al., 2023)</w:t>
      </w:r>
      <w:r>
        <w:t>.</w:t>
      </w:r>
    </w:p>
    <w:p>
      <w:pPr>
        <w:pStyle w:val="8"/>
        <w:rPr>
          <w:lang w:val="en-US"/>
        </w:rPr>
      </w:pPr>
      <w:bookmarkStart w:id="8" w:name="_p6cil0mc3g1s" w:colFirst="0" w:colLast="0"/>
      <w:bookmarkEnd w:id="8"/>
      <w:r>
        <w:t>2.</w:t>
      </w:r>
      <w:r>
        <w:rPr>
          <w:lang w:val="en-US"/>
        </w:rPr>
        <w:t>2</w:t>
      </w:r>
      <w:r>
        <w:t>. Retrieval and Preparation of Target Protein</w:t>
      </w:r>
    </w:p>
    <w:p>
      <w:pPr>
        <w:rPr>
          <w:lang w:val="en-US"/>
        </w:rPr>
      </w:pPr>
      <w:r>
        <w:rPr>
          <w:rFonts w:eastAsia="MinionPro-Regular"/>
          <w:iCs/>
          <w:szCs w:val="20"/>
        </w:rPr>
        <w:t xml:space="preserve">The crystal structure of the </w:t>
      </w:r>
      <w:r>
        <w:rPr>
          <w:rFonts w:eastAsia="MinionPro-Regular"/>
          <w:iCs/>
          <w:szCs w:val="20"/>
          <w:lang w:val="en-US"/>
        </w:rPr>
        <w:t>M</w:t>
      </w:r>
      <w:r>
        <w:rPr>
          <w:rFonts w:eastAsia="MinionPro-Regular"/>
          <w:iCs/>
          <w:szCs w:val="20"/>
          <w:vertAlign w:val="superscript"/>
          <w:lang w:val="en-US"/>
        </w:rPr>
        <w:t>pro</w:t>
      </w:r>
      <w:r>
        <w:rPr>
          <w:rFonts w:eastAsia="MinionPro-Regular"/>
          <w:iCs/>
          <w:szCs w:val="20"/>
          <w:lang w:val="en-US"/>
        </w:rPr>
        <w:t xml:space="preserve"> enzyme</w:t>
      </w:r>
      <w:r>
        <w:rPr>
          <w:rFonts w:eastAsia="MinionPro-Regular"/>
          <w:iCs/>
          <w:szCs w:val="20"/>
        </w:rPr>
        <w:t xml:space="preserve"> (PDB ID: </w:t>
      </w:r>
      <w:r>
        <w:rPr>
          <w:rFonts w:eastAsia="MinionPro-Regular"/>
          <w:iCs/>
          <w:szCs w:val="20"/>
          <w:lang w:val="en-US"/>
        </w:rPr>
        <w:t>8D4L</w:t>
      </w:r>
      <w:r>
        <w:rPr>
          <w:rFonts w:eastAsia="MinionPro-Regular"/>
          <w:iCs/>
          <w:szCs w:val="20"/>
        </w:rPr>
        <w:t xml:space="preserve">) of SARS-CoV-2 </w:t>
      </w:r>
      <w:r>
        <w:rPr>
          <w:rFonts w:eastAsia="MinionPro-Regular"/>
          <w:iCs/>
          <w:szCs w:val="20"/>
          <w:lang w:val="en-US"/>
        </w:rPr>
        <w:t>was</w:t>
      </w:r>
      <w:r>
        <w:rPr>
          <w:rFonts w:eastAsia="MinionPro-Regular"/>
          <w:iCs/>
          <w:szCs w:val="20"/>
        </w:rPr>
        <w:t xml:space="preserve"> retrieved in PDB format from the RCSB Protein Data Bank database (https://www.rcsb.org/)</w:t>
      </w:r>
      <w:r>
        <w:rPr>
          <w:rFonts w:eastAsia="MinionPro-Regular"/>
          <w:iCs/>
          <w:szCs w:val="20"/>
          <w:lang w:val="en-US"/>
        </w:rPr>
        <w:t xml:space="preserve"> </w:t>
      </w:r>
      <w:r>
        <w:t>(Dejnirattisai et al.,</w:t>
      </w:r>
      <w:r>
        <w:rPr>
          <w:lang w:val="en-US"/>
        </w:rPr>
        <w:t xml:space="preserve"> </w:t>
      </w:r>
      <w:r>
        <w:t>2022</w:t>
      </w:r>
      <w:r>
        <w:rPr>
          <w:lang w:val="en-US"/>
        </w:rPr>
        <w:t xml:space="preserve">; </w:t>
      </w:r>
      <w:r>
        <w:t>Rose et al.,</w:t>
      </w:r>
      <w:r>
        <w:rPr>
          <w:lang w:val="en-US"/>
        </w:rPr>
        <w:t xml:space="preserve"> </w:t>
      </w:r>
      <w:r>
        <w:t>2016)</w:t>
      </w:r>
      <w:r>
        <w:rPr>
          <w:rFonts w:eastAsia="MinionPro-Regular"/>
          <w:iCs/>
          <w:szCs w:val="20"/>
        </w:rPr>
        <w:t xml:space="preserve">. The resolution of the downloaded spike protein was </w:t>
      </w:r>
      <w:r>
        <w:rPr>
          <w:rFonts w:eastAsia="MinionPro-Regular"/>
          <w:iCs/>
          <w:szCs w:val="20"/>
          <w:lang w:val="en-US"/>
        </w:rPr>
        <w:t>1.70</w:t>
      </w:r>
      <w:r>
        <w:rPr>
          <w:rFonts w:eastAsia="MinionPro-Regular"/>
          <w:iCs/>
          <w:szCs w:val="20"/>
        </w:rPr>
        <w:t>°A. The protein structures were cleaned by eliminating unwanted atoms and molecules (including ligands) with PyMOL version 2.5.2 software (Schrodinger, LLC) (</w:t>
      </w:r>
      <w:r>
        <w:t>Lill et al.,</w:t>
      </w:r>
      <w:r>
        <w:rPr>
          <w:lang w:val="en-US"/>
        </w:rPr>
        <w:t xml:space="preserve"> </w:t>
      </w:r>
      <w:r>
        <w:t>2011)</w:t>
      </w:r>
      <w:r>
        <w:rPr>
          <w:rFonts w:eastAsia="MinionPro-Regular"/>
          <w:iCs/>
          <w:szCs w:val="20"/>
        </w:rPr>
        <w:t>. The receptor-binding domain (RBD) of the spike protein was extracted from the crystal structure, and the superfluous chains of proteins were eliminated using PyMOL.</w:t>
      </w:r>
      <w:r>
        <w:t xml:space="preserve"> </w:t>
      </w:r>
      <w:r>
        <w:rPr>
          <w:rFonts w:eastAsia="MinionPro-Regular"/>
          <w:iCs/>
          <w:szCs w:val="20"/>
        </w:rPr>
        <w:t>The proteins</w:t>
      </w:r>
      <w:r>
        <w:rPr>
          <w:rFonts w:eastAsia="MinionPro-Regular"/>
          <w:iCs/>
          <w:szCs w:val="20"/>
          <w:lang w:val="en-US"/>
        </w:rPr>
        <w:t>’</w:t>
      </w:r>
      <w:r>
        <w:rPr>
          <w:rFonts w:eastAsia="MinionPro-Regular"/>
          <w:iCs/>
          <w:szCs w:val="20"/>
        </w:rPr>
        <w:t xml:space="preserve"> chains were stored in PDB formats for molecular docking.</w:t>
      </w:r>
    </w:p>
    <w:p>
      <w:pPr>
        <w:pStyle w:val="8"/>
        <w:rPr>
          <w:lang w:val="en-US"/>
        </w:rPr>
      </w:pPr>
      <w:bookmarkStart w:id="9" w:name="_p3sjoc50c9e6" w:colFirst="0" w:colLast="0"/>
      <w:bookmarkEnd w:id="9"/>
      <w:r>
        <w:t>2.</w:t>
      </w:r>
      <w:r>
        <w:rPr>
          <w:lang w:val="en-US"/>
        </w:rPr>
        <w:t>3</w:t>
      </w:r>
      <w:r>
        <w:t>. Molecular D</w:t>
      </w:r>
      <w:r>
        <w:rPr>
          <w:lang w:val="en-US"/>
        </w:rPr>
        <w:t>ocking</w:t>
      </w:r>
    </w:p>
    <w:p>
      <w:pPr>
        <w:rPr>
          <w:lang w:val="en-US"/>
        </w:rPr>
      </w:pPr>
      <w:r>
        <w:rPr>
          <w:rFonts w:eastAsia="MinionPro-Regular"/>
          <w:iCs/>
          <w:szCs w:val="20"/>
        </w:rPr>
        <w:t xml:space="preserve">The CB-Dock2 server (https://cadd.labshare.cn/cb-dock2/php) was used to execute molecular dockings on the chosen ligands against the target proteins </w:t>
      </w:r>
      <w:r>
        <w:t>(Liu et al.,</w:t>
      </w:r>
      <w:r>
        <w:rPr>
          <w:lang w:val="en-US"/>
        </w:rPr>
        <w:t xml:space="preserve"> </w:t>
      </w:r>
      <w:r>
        <w:t>2022)</w:t>
      </w:r>
      <w:r>
        <w:rPr>
          <w:rFonts w:eastAsia="MinionPro-Regular"/>
          <w:iCs/>
          <w:szCs w:val="20"/>
        </w:rPr>
        <w:t>. The binding affinity (kcal/mol) for each protein-ligand combination, as well as noncovalent interactions and docking orientations, were examined using the Dassault Systmes BIOVIA Discovery Studio 2021 Client version 21.1.0 software. The 2D and 3D schematic drawings of the protein-ligand docking complexes were obtained from BIOVIA Discovery Studio.</w:t>
      </w:r>
    </w:p>
    <w:p>
      <w:pPr>
        <w:pStyle w:val="8"/>
        <w:rPr>
          <w:lang w:val="en-US"/>
        </w:rPr>
      </w:pPr>
      <w:r>
        <w:t>2.</w:t>
      </w:r>
      <w:r>
        <w:rPr>
          <w:lang w:val="en-US"/>
        </w:rPr>
        <w:t>4</w:t>
      </w:r>
      <w:r>
        <w:t xml:space="preserve">. </w:t>
      </w:r>
      <w:r>
        <w:rPr>
          <w:lang w:val="en-US"/>
        </w:rPr>
        <w:t>ADME and Toxicity Prediction</w:t>
      </w:r>
    </w:p>
    <w:p>
      <w:r>
        <w:t>The top-docking ligands</w:t>
      </w:r>
      <w:r>
        <w:rPr>
          <w:lang w:val="en-US"/>
        </w:rPr>
        <w:t>’</w:t>
      </w:r>
      <w:r>
        <w:t xml:space="preserve"> canonical SMILES were taken from the PubChem and IMPPAT 2.0 databases and entered into the SwissADME website (https://www.swissadme.ch/) (Daina et al.,</w:t>
      </w:r>
      <w:r>
        <w:rPr>
          <w:lang w:val="en-US"/>
        </w:rPr>
        <w:t xml:space="preserve"> </w:t>
      </w:r>
      <w:r>
        <w:t>2017). SwissADME provided the ADME (absorption, distribution, metabolism, and excretion) statistics for each ligand. Following that, the ProTox-II service (https://tox-new.charite.de/protox_II/) was used to estimate the toxicity pro</w:t>
      </w:r>
      <w:r>
        <w:rPr>
          <w:lang w:val="en-US"/>
        </w:rPr>
        <w:t>fi</w:t>
      </w:r>
      <w:r>
        <w:t>le of each ligand</w:t>
      </w:r>
      <w:r>
        <w:rPr>
          <w:lang w:val="en-US"/>
        </w:rPr>
        <w:t xml:space="preserve"> </w:t>
      </w:r>
      <w:r>
        <w:t>(Banerjee et al.,</w:t>
      </w:r>
      <w:r>
        <w:rPr>
          <w:lang w:val="en-US"/>
        </w:rPr>
        <w:t xml:space="preserve"> </w:t>
      </w:r>
      <w:r>
        <w:t>2018).</w:t>
      </w:r>
      <w:r>
        <w:rPr>
          <w:lang w:val="en-US"/>
        </w:rPr>
        <w:t xml:space="preserve"> </w:t>
      </w:r>
      <w:r>
        <w:t>These two sources were used to record the physicochemical, pharmacokinetic, and pharmacodynamic aspects of each ligand.</w:t>
      </w:r>
      <w:r>
        <w:rPr>
          <w:lang w:val="en-US"/>
        </w:rPr>
        <w:t xml:space="preserve"> </w:t>
      </w:r>
      <w:r>
        <w:t>During the ADME and toxicity prediction, each ligand's topological polar surface area (TPSA), lipophilicity (MLogP), water solubility (LogS), bioavailability score, blood-brain barrier (BBB) permeability, interaction with P-glycoprotein (P-gp), LD50 value, and toxicity class were explored.</w:t>
      </w:r>
    </w:p>
    <w:p>
      <w:pPr>
        <w:pStyle w:val="4"/>
      </w:pPr>
      <w:bookmarkStart w:id="10" w:name="_54oxq6w270v" w:colFirst="0" w:colLast="0"/>
      <w:bookmarkEnd w:id="10"/>
      <w:r>
        <w:t>3. Results and Discussion</w:t>
      </w:r>
    </w:p>
    <w:p>
      <w:pPr>
        <w:rPr>
          <w:rFonts w:eastAsia="Gungsuh"/>
          <w:lang w:val="en-US"/>
        </w:rPr>
      </w:pPr>
      <w:bookmarkStart w:id="11" w:name="_fjdgqn4541gh" w:colFirst="0" w:colLast="0"/>
      <w:bookmarkEnd w:id="11"/>
      <w:r>
        <w:rPr>
          <w:rFonts w:eastAsia="Gungsuh"/>
          <w:lang w:val="en-US" w:eastAsia="zh-CN"/>
        </w:rPr>
        <w:t>The docking score or binding affinity of a ligand denotes the level of attraction at which the ligand is supposed to bind to the target. The docking conformations shows at which orientation the ligands bind to the respective targets. A complete docking operation includes the bond types, bond lengths, and a complete overview on the ligands static interactions with the target. Artomunoxanthentrione displayed the highest binding affinity, that is −8.3 kcal/mol. It was found to exhibit almost 20 interactions with the amino acid residues of M</w:t>
      </w:r>
      <w:r>
        <w:rPr>
          <w:rFonts w:eastAsia="Gungsuh"/>
          <w:vertAlign w:val="superscript"/>
          <w:lang w:val="en-US" w:eastAsia="zh-CN"/>
        </w:rPr>
        <w:t>pro</w:t>
      </w:r>
      <w:r>
        <w:rPr>
          <w:rFonts w:eastAsia="Gungsuh"/>
          <w:lang w:val="en-US" w:eastAsia="zh-CN"/>
        </w:rPr>
        <w:t>. The interactions obtained from the CB-Dock2 server for each molecule has been mentioned in table 1. the binding affinities of cycloartomunin, cihydrocycloartomunin, cycloartobiloxanthone, artomunoxanthentrione, cycloartomunoxanthone, and nirmatrelvir (standard) in complex were −7.6, −7.7 , −7.7, −8.1, and −8.1 kcal/mol, respectively. Figure 1 depicts a graphically comparative overview of the docking scores (binding affinities) of all test compounds and the standard inhibitor. A diagrammatic scheme of the types of 3D conformations (obtained from CB-Dock2 server) and 2D interactions (obtained from BIOVIA Discovery Studio software) have been shown in Figure 2.</w:t>
      </w:r>
    </w:p>
    <w:p>
      <w:pPr>
        <w:jc w:val="center"/>
        <w:rPr>
          <w:rFonts w:eastAsia="Gungsuh"/>
          <w:lang w:val="en-US"/>
        </w:rPr>
      </w:pPr>
      <w:r>
        <w:rPr>
          <w:rFonts w:eastAsia="Gungsuh"/>
          <w:lang w:val="en-US"/>
        </w:rPr>
        <w:drawing>
          <wp:inline distT="0" distB="0" distL="114300" distR="114300">
            <wp:extent cx="5126990" cy="4101465"/>
            <wp:effectExtent l="0" t="0" r="8890" b="13335"/>
            <wp:docPr id="7" name="Picture 7"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1"/>
                    <pic:cNvPicPr>
                      <a:picLocks noChangeAspect="1"/>
                    </pic:cNvPicPr>
                  </pic:nvPicPr>
                  <pic:blipFill>
                    <a:blip r:embed="rId11"/>
                    <a:stretch>
                      <a:fillRect/>
                    </a:stretch>
                  </pic:blipFill>
                  <pic:spPr>
                    <a:xfrm>
                      <a:off x="0" y="0"/>
                      <a:ext cx="5126990" cy="4101465"/>
                    </a:xfrm>
                    <a:prstGeom prst="rect">
                      <a:avLst/>
                    </a:prstGeom>
                  </pic:spPr>
                </pic:pic>
              </a:graphicData>
            </a:graphic>
          </wp:inline>
        </w:drawing>
      </w:r>
    </w:p>
    <w:p>
      <w:pPr>
        <w:jc w:val="center"/>
        <w:rPr>
          <w:sz w:val="20"/>
          <w:szCs w:val="20"/>
          <w:lang w:val="en-US"/>
        </w:rPr>
      </w:pPr>
      <w:r>
        <w:rPr>
          <w:b/>
          <w:sz w:val="20"/>
          <w:szCs w:val="20"/>
        </w:rPr>
        <w:t xml:space="preserve">Figure </w:t>
      </w:r>
      <w:r>
        <w:rPr>
          <w:b/>
          <w:sz w:val="20"/>
          <w:szCs w:val="20"/>
          <w:lang w:val="en-US"/>
        </w:rPr>
        <w:t>1</w:t>
      </w:r>
      <w:r>
        <w:rPr>
          <w:b/>
          <w:sz w:val="20"/>
          <w:szCs w:val="20"/>
        </w:rPr>
        <w:t>:</w:t>
      </w:r>
      <w:r>
        <w:rPr>
          <w:sz w:val="20"/>
          <w:szCs w:val="20"/>
        </w:rPr>
        <w:t xml:space="preserve"> </w:t>
      </w:r>
      <w:r>
        <w:rPr>
          <w:sz w:val="20"/>
          <w:szCs w:val="20"/>
          <w:lang w:val="en-US"/>
        </w:rPr>
        <w:t>Binding affinity chart of each compound in complex with M</w:t>
      </w:r>
      <w:r>
        <w:rPr>
          <w:sz w:val="20"/>
          <w:szCs w:val="20"/>
          <w:vertAlign w:val="superscript"/>
          <w:lang w:val="en-US"/>
        </w:rPr>
        <w:t>pro</w:t>
      </w:r>
      <w:r>
        <w:rPr>
          <w:sz w:val="20"/>
          <w:szCs w:val="20"/>
          <w:lang w:val="en-US"/>
        </w:rPr>
        <w:t xml:space="preserve"> enzyme of SARS-CoV-2.</w:t>
      </w:r>
    </w:p>
    <w:p>
      <w:pPr>
        <w:jc w:val="center"/>
        <w:rPr>
          <w:sz w:val="20"/>
          <w:szCs w:val="20"/>
          <w:lang w:val="en-US"/>
        </w:rPr>
      </w:pPr>
    </w:p>
    <w:p>
      <w:pPr>
        <w:spacing w:before="360"/>
        <w:jc w:val="center"/>
        <w:rPr>
          <w:sz w:val="20"/>
          <w:szCs w:val="20"/>
        </w:rPr>
      </w:pPr>
      <w:r>
        <w:rPr>
          <w:b/>
          <w:sz w:val="20"/>
          <w:szCs w:val="20"/>
        </w:rPr>
        <w:t xml:space="preserve">Table </w:t>
      </w:r>
      <w:r>
        <w:rPr>
          <w:b/>
          <w:sz w:val="20"/>
          <w:szCs w:val="20"/>
          <w:lang w:val="en-US"/>
        </w:rPr>
        <w:t>1:</w:t>
      </w:r>
      <w:r>
        <w:rPr>
          <w:sz w:val="20"/>
          <w:szCs w:val="20"/>
        </w:rPr>
        <w:t xml:space="preserve"> </w:t>
      </w:r>
      <w:r>
        <w:rPr>
          <w:sz w:val="20"/>
          <w:szCs w:val="20"/>
          <w:lang w:val="en-US"/>
        </w:rPr>
        <w:t>The binding affinities and noncovalent (hydrogen bonds and hydrophobic) interactions of the test compounds and the standard inhibitor (nirmatrelvir)</w:t>
      </w:r>
      <w:r>
        <w:rPr>
          <w:sz w:val="20"/>
          <w:szCs w:val="20"/>
        </w:rPr>
        <w:t>.</w:t>
      </w:r>
    </w:p>
    <w:tbl>
      <w:tblPr>
        <w:tblStyle w:val="19"/>
        <w:tblW w:w="90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376"/>
        <w:gridCol w:w="1536"/>
        <w:gridCol w:w="3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blHeader/>
          <w:jc w:val="center"/>
        </w:trPr>
        <w:tc>
          <w:tcPr>
            <w:tcW w:w="1560" w:type="dxa"/>
            <w:shd w:val="clear" w:color="auto" w:fill="D7D7D7" w:themeFill="background1" w:themeFillShade="D8"/>
            <w:tcMar>
              <w:top w:w="43" w:type="dxa"/>
              <w:left w:w="43" w:type="dxa"/>
              <w:bottom w:w="43" w:type="dxa"/>
              <w:right w:w="43" w:type="dxa"/>
            </w:tcMar>
            <w:vAlign w:val="center"/>
          </w:tcPr>
          <w:p>
            <w:pPr>
              <w:widowControl/>
              <w:spacing w:after="0" w:line="240" w:lineRule="auto"/>
              <w:jc w:val="left"/>
              <w:rPr>
                <w:b/>
                <w:bCs/>
                <w:sz w:val="18"/>
                <w:szCs w:val="18"/>
                <w:lang w:val="en-US"/>
              </w:rPr>
            </w:pPr>
            <w:r>
              <w:rPr>
                <w:b/>
                <w:bCs/>
                <w:sz w:val="18"/>
                <w:szCs w:val="18"/>
                <w:lang w:val="en-US"/>
              </w:rPr>
              <w:t>Chemical ID (Source)</w:t>
            </w:r>
          </w:p>
        </w:tc>
        <w:tc>
          <w:tcPr>
            <w:tcW w:w="2376" w:type="dxa"/>
            <w:shd w:val="clear" w:color="auto" w:fill="D7D7D7" w:themeFill="background1" w:themeFillShade="D8"/>
            <w:tcMar>
              <w:top w:w="43" w:type="dxa"/>
              <w:left w:w="43" w:type="dxa"/>
              <w:bottom w:w="43" w:type="dxa"/>
              <w:right w:w="43" w:type="dxa"/>
            </w:tcMar>
            <w:vAlign w:val="center"/>
          </w:tcPr>
          <w:p>
            <w:pPr>
              <w:widowControl/>
              <w:spacing w:after="0" w:line="240" w:lineRule="auto"/>
              <w:jc w:val="left"/>
              <w:rPr>
                <w:b/>
                <w:bCs/>
                <w:sz w:val="18"/>
                <w:szCs w:val="18"/>
                <w:lang w:val="en-US"/>
              </w:rPr>
            </w:pPr>
            <w:r>
              <w:rPr>
                <w:b/>
                <w:bCs/>
                <w:sz w:val="18"/>
                <w:szCs w:val="18"/>
                <w:lang w:val="en-US"/>
              </w:rPr>
              <w:t>Compound Name</w:t>
            </w:r>
          </w:p>
        </w:tc>
        <w:tc>
          <w:tcPr>
            <w:tcW w:w="1536" w:type="dxa"/>
            <w:shd w:val="clear" w:color="auto" w:fill="D7D7D7" w:themeFill="background1" w:themeFillShade="D8"/>
            <w:tcMar>
              <w:top w:w="43" w:type="dxa"/>
              <w:left w:w="43" w:type="dxa"/>
              <w:bottom w:w="43" w:type="dxa"/>
              <w:right w:w="43" w:type="dxa"/>
            </w:tcMar>
            <w:vAlign w:val="center"/>
          </w:tcPr>
          <w:p>
            <w:pPr>
              <w:widowControl/>
              <w:spacing w:after="0" w:line="240" w:lineRule="auto"/>
              <w:jc w:val="center"/>
              <w:rPr>
                <w:b/>
                <w:bCs/>
                <w:sz w:val="18"/>
                <w:szCs w:val="18"/>
                <w:lang w:val="en-US"/>
              </w:rPr>
            </w:pPr>
            <w:r>
              <w:rPr>
                <w:b/>
                <w:bCs/>
                <w:sz w:val="18"/>
                <w:szCs w:val="18"/>
                <w:lang w:val="en-US"/>
              </w:rPr>
              <w:t>Binding affinity (kcal/mol)</w:t>
            </w:r>
          </w:p>
        </w:tc>
        <w:tc>
          <w:tcPr>
            <w:tcW w:w="3611" w:type="dxa"/>
            <w:shd w:val="clear" w:color="auto" w:fill="D7D7D7" w:themeFill="background1" w:themeFillShade="D8"/>
            <w:tcMar>
              <w:top w:w="43" w:type="dxa"/>
              <w:left w:w="43" w:type="dxa"/>
              <w:bottom w:w="43" w:type="dxa"/>
              <w:right w:w="43" w:type="dxa"/>
            </w:tcMar>
            <w:vAlign w:val="center"/>
          </w:tcPr>
          <w:p>
            <w:pPr>
              <w:widowControl/>
              <w:spacing w:after="0" w:line="240" w:lineRule="auto"/>
              <w:jc w:val="center"/>
              <w:rPr>
                <w:b/>
                <w:bCs/>
                <w:sz w:val="18"/>
                <w:szCs w:val="18"/>
                <w:lang w:val="en-US"/>
              </w:rPr>
            </w:pPr>
            <w:r>
              <w:rPr>
                <w:b/>
                <w:bCs/>
                <w:sz w:val="18"/>
                <w:szCs w:val="18"/>
                <w:lang w:val="en-US"/>
              </w:rPr>
              <w:t>Interactions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1560" w:type="dxa"/>
            <w:tcMar>
              <w:top w:w="43" w:type="dxa"/>
              <w:left w:w="43" w:type="dxa"/>
              <w:bottom w:w="43" w:type="dxa"/>
              <w:right w:w="43" w:type="dxa"/>
            </w:tcMar>
          </w:tcPr>
          <w:p>
            <w:pPr>
              <w:widowControl/>
              <w:jc w:val="left"/>
              <w:textAlignment w:val="bottom"/>
              <w:rPr>
                <w:rFonts w:eastAsia="SimSun"/>
                <w:sz w:val="18"/>
                <w:szCs w:val="18"/>
                <w:lang w:val="en-US" w:eastAsia="zh-CN" w:bidi="ar"/>
              </w:rPr>
            </w:pPr>
            <w:r>
              <w:rPr>
                <w:rFonts w:eastAsia="SimSun"/>
                <w:sz w:val="18"/>
                <w:szCs w:val="18"/>
                <w:lang w:val="en-US" w:eastAsia="zh-CN" w:bidi="ar"/>
              </w:rPr>
              <w:t>IMPHY000132</w:t>
            </w:r>
          </w:p>
          <w:p>
            <w:pPr>
              <w:widowControl/>
              <w:jc w:val="left"/>
              <w:textAlignment w:val="bottom"/>
              <w:rPr>
                <w:rFonts w:eastAsia="SimSun"/>
                <w:sz w:val="18"/>
                <w:szCs w:val="18"/>
                <w:lang w:val="en-US" w:eastAsia="zh-CN" w:bidi="ar"/>
              </w:rPr>
            </w:pPr>
            <w:r>
              <w:rPr>
                <w:rFonts w:eastAsia="SimSun"/>
                <w:sz w:val="18"/>
                <w:szCs w:val="18"/>
                <w:lang w:val="en-US" w:eastAsia="zh-CN" w:bidi="ar"/>
              </w:rPr>
              <w:t>(IMPPAT)</w:t>
            </w:r>
          </w:p>
        </w:tc>
        <w:tc>
          <w:tcPr>
            <w:tcW w:w="2376" w:type="dxa"/>
            <w:tcMar>
              <w:top w:w="43" w:type="dxa"/>
              <w:left w:w="43" w:type="dxa"/>
              <w:bottom w:w="43" w:type="dxa"/>
              <w:right w:w="43" w:type="dxa"/>
            </w:tcMar>
          </w:tcPr>
          <w:p>
            <w:pPr>
              <w:widowControl/>
              <w:jc w:val="left"/>
              <w:textAlignment w:val="top"/>
              <w:rPr>
                <w:sz w:val="18"/>
                <w:szCs w:val="18"/>
                <w:lang w:val="en-US"/>
              </w:rPr>
            </w:pPr>
            <w:r>
              <w:rPr>
                <w:rFonts w:eastAsia="SimSun"/>
                <w:sz w:val="18"/>
                <w:szCs w:val="18"/>
                <w:lang w:val="en-US" w:eastAsia="zh-CN" w:bidi="ar"/>
              </w:rPr>
              <w:t>Cycloartomunin</w:t>
            </w:r>
          </w:p>
        </w:tc>
        <w:tc>
          <w:tcPr>
            <w:tcW w:w="1536" w:type="dxa"/>
            <w:tcMar>
              <w:top w:w="43" w:type="dxa"/>
              <w:left w:w="43" w:type="dxa"/>
              <w:bottom w:w="43" w:type="dxa"/>
              <w:right w:w="43" w:type="dxa"/>
            </w:tcMar>
          </w:tcPr>
          <w:p>
            <w:pPr>
              <w:widowControl/>
              <w:spacing w:after="0" w:line="240" w:lineRule="auto"/>
              <w:jc w:val="center"/>
              <w:rPr>
                <w:sz w:val="18"/>
                <w:szCs w:val="18"/>
                <w:lang w:val="en-US"/>
              </w:rPr>
            </w:pPr>
            <w:r>
              <w:rPr>
                <w:sz w:val="18"/>
                <w:szCs w:val="18"/>
              </w:rPr>
              <w:t>−</w:t>
            </w:r>
            <w:r>
              <w:rPr>
                <w:sz w:val="18"/>
                <w:szCs w:val="18"/>
                <w:lang w:val="en-US"/>
              </w:rPr>
              <w:t>7.6</w:t>
            </w:r>
          </w:p>
        </w:tc>
        <w:tc>
          <w:tcPr>
            <w:tcW w:w="3611" w:type="dxa"/>
            <w:tcMar>
              <w:top w:w="43" w:type="dxa"/>
              <w:left w:w="43" w:type="dxa"/>
              <w:bottom w:w="43" w:type="dxa"/>
              <w:right w:w="43" w:type="dxa"/>
            </w:tcMar>
          </w:tcPr>
          <w:p>
            <w:pPr>
              <w:widowControl/>
              <w:jc w:val="left"/>
              <w:textAlignment w:val="top"/>
              <w:rPr>
                <w:sz w:val="18"/>
                <w:szCs w:val="18"/>
                <w:lang w:val="en-US"/>
              </w:rPr>
            </w:pPr>
            <w:r>
              <w:rPr>
                <w:rFonts w:eastAsia="SimSun"/>
                <w:sz w:val="18"/>
                <w:szCs w:val="18"/>
                <w:lang w:val="en-US" w:eastAsia="zh-CN" w:bidi="ar"/>
              </w:rPr>
              <w:t>GLN107 PRO108 GLY109 GLN110 PRO132 ILE200 VAL202 GLU240 PRO241 HIS246 ILE249 THR292 PRO293 PHE294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1560" w:type="dxa"/>
            <w:tcMar>
              <w:top w:w="43" w:type="dxa"/>
              <w:left w:w="43" w:type="dxa"/>
              <w:bottom w:w="43" w:type="dxa"/>
              <w:right w:w="43" w:type="dxa"/>
            </w:tcMar>
          </w:tcPr>
          <w:p>
            <w:pPr>
              <w:widowControl/>
              <w:jc w:val="left"/>
              <w:textAlignment w:val="bottom"/>
              <w:rPr>
                <w:rFonts w:eastAsia="SimSun"/>
                <w:sz w:val="18"/>
                <w:szCs w:val="18"/>
                <w:lang w:val="en-US" w:eastAsia="zh-CN" w:bidi="ar"/>
              </w:rPr>
            </w:pPr>
            <w:r>
              <w:rPr>
                <w:rFonts w:eastAsia="SimSun"/>
                <w:sz w:val="18"/>
                <w:szCs w:val="18"/>
                <w:lang w:val="en-US" w:eastAsia="zh-CN" w:bidi="ar"/>
              </w:rPr>
              <w:t>IMPHY000674</w:t>
            </w:r>
          </w:p>
          <w:p>
            <w:pPr>
              <w:widowControl/>
              <w:jc w:val="left"/>
              <w:textAlignment w:val="bottom"/>
              <w:rPr>
                <w:sz w:val="18"/>
                <w:szCs w:val="18"/>
                <w:lang w:val="en-US"/>
              </w:rPr>
            </w:pPr>
            <w:r>
              <w:rPr>
                <w:rFonts w:eastAsia="SimSun"/>
                <w:sz w:val="18"/>
                <w:szCs w:val="18"/>
                <w:lang w:val="en-US" w:eastAsia="zh-CN" w:bidi="ar"/>
              </w:rPr>
              <w:t>(IMPPAT)</w:t>
            </w:r>
          </w:p>
        </w:tc>
        <w:tc>
          <w:tcPr>
            <w:tcW w:w="2376" w:type="dxa"/>
            <w:tcMar>
              <w:top w:w="43" w:type="dxa"/>
              <w:left w:w="43" w:type="dxa"/>
              <w:bottom w:w="43" w:type="dxa"/>
              <w:right w:w="43" w:type="dxa"/>
            </w:tcMar>
          </w:tcPr>
          <w:p>
            <w:pPr>
              <w:widowControl/>
              <w:jc w:val="left"/>
              <w:textAlignment w:val="top"/>
              <w:rPr>
                <w:sz w:val="18"/>
                <w:szCs w:val="18"/>
                <w:lang w:val="en-US"/>
              </w:rPr>
            </w:pPr>
            <w:r>
              <w:rPr>
                <w:rFonts w:eastAsia="SimSun"/>
                <w:sz w:val="18"/>
                <w:szCs w:val="18"/>
                <w:lang w:val="en-US" w:eastAsia="zh-CN" w:bidi="ar"/>
              </w:rPr>
              <w:t>Dihydrocycloartomunin</w:t>
            </w:r>
          </w:p>
        </w:tc>
        <w:tc>
          <w:tcPr>
            <w:tcW w:w="1536" w:type="dxa"/>
            <w:tcMar>
              <w:top w:w="43" w:type="dxa"/>
              <w:left w:w="43" w:type="dxa"/>
              <w:bottom w:w="43" w:type="dxa"/>
              <w:right w:w="43" w:type="dxa"/>
            </w:tcMar>
          </w:tcPr>
          <w:p>
            <w:pPr>
              <w:widowControl/>
              <w:spacing w:after="0" w:line="240" w:lineRule="auto"/>
              <w:jc w:val="center"/>
              <w:rPr>
                <w:sz w:val="18"/>
                <w:szCs w:val="18"/>
                <w:lang w:val="en-US"/>
              </w:rPr>
            </w:pPr>
            <w:r>
              <w:rPr>
                <w:sz w:val="18"/>
                <w:szCs w:val="18"/>
              </w:rPr>
              <w:t>−</w:t>
            </w:r>
            <w:r>
              <w:rPr>
                <w:sz w:val="18"/>
                <w:szCs w:val="18"/>
                <w:lang w:val="en-US"/>
              </w:rPr>
              <w:t>7.7</w:t>
            </w:r>
          </w:p>
        </w:tc>
        <w:tc>
          <w:tcPr>
            <w:tcW w:w="3611" w:type="dxa"/>
            <w:tcMar>
              <w:top w:w="43" w:type="dxa"/>
              <w:left w:w="43" w:type="dxa"/>
              <w:bottom w:w="43" w:type="dxa"/>
              <w:right w:w="43" w:type="dxa"/>
            </w:tcMar>
          </w:tcPr>
          <w:p>
            <w:pPr>
              <w:widowControl/>
              <w:jc w:val="left"/>
              <w:textAlignment w:val="top"/>
              <w:rPr>
                <w:sz w:val="18"/>
                <w:szCs w:val="18"/>
                <w:lang w:val="en-US"/>
              </w:rPr>
            </w:pPr>
            <w:r>
              <w:rPr>
                <w:rFonts w:eastAsia="SimSun"/>
                <w:sz w:val="18"/>
                <w:szCs w:val="18"/>
                <w:lang w:val="en-US" w:eastAsia="zh-CN" w:bidi="ar"/>
              </w:rPr>
              <w:t>THR24 THR25 THR26 LEU27 HIS41 CYS44 THR45 SER46 MET49 PHE140 LEU141 ASN142 GLY143 ALA144 CYS145 HIS163 HIS164 GLU166 HIS172 GLN189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1560" w:type="dxa"/>
            <w:tcMar>
              <w:top w:w="43" w:type="dxa"/>
              <w:left w:w="43" w:type="dxa"/>
              <w:bottom w:w="43" w:type="dxa"/>
              <w:right w:w="43" w:type="dxa"/>
            </w:tcMar>
          </w:tcPr>
          <w:p>
            <w:pPr>
              <w:widowControl/>
              <w:jc w:val="left"/>
              <w:textAlignment w:val="bottom"/>
              <w:rPr>
                <w:rFonts w:eastAsia="SimSun"/>
                <w:sz w:val="18"/>
                <w:szCs w:val="18"/>
                <w:lang w:val="en-US" w:eastAsia="zh-CN" w:bidi="ar"/>
              </w:rPr>
            </w:pPr>
            <w:r>
              <w:rPr>
                <w:rFonts w:eastAsia="SimSun"/>
                <w:sz w:val="18"/>
                <w:szCs w:val="18"/>
                <w:lang w:val="en-US" w:eastAsia="zh-CN" w:bidi="ar"/>
              </w:rPr>
              <w:t>IMPHY001232</w:t>
            </w:r>
          </w:p>
          <w:p>
            <w:pPr>
              <w:widowControl/>
              <w:jc w:val="left"/>
              <w:textAlignment w:val="bottom"/>
              <w:rPr>
                <w:sz w:val="18"/>
                <w:szCs w:val="18"/>
                <w:lang w:val="en-US"/>
              </w:rPr>
            </w:pPr>
            <w:r>
              <w:rPr>
                <w:rFonts w:eastAsia="SimSun"/>
                <w:sz w:val="18"/>
                <w:szCs w:val="18"/>
                <w:lang w:val="en-US" w:eastAsia="zh-CN" w:bidi="ar"/>
              </w:rPr>
              <w:t>(IMPPAT)</w:t>
            </w:r>
          </w:p>
        </w:tc>
        <w:tc>
          <w:tcPr>
            <w:tcW w:w="2376" w:type="dxa"/>
            <w:tcMar>
              <w:top w:w="43" w:type="dxa"/>
              <w:left w:w="43" w:type="dxa"/>
              <w:bottom w:w="43" w:type="dxa"/>
              <w:right w:w="43" w:type="dxa"/>
            </w:tcMar>
          </w:tcPr>
          <w:p>
            <w:pPr>
              <w:widowControl/>
              <w:jc w:val="left"/>
              <w:textAlignment w:val="top"/>
              <w:rPr>
                <w:sz w:val="18"/>
                <w:szCs w:val="18"/>
                <w:lang w:val="en-US"/>
              </w:rPr>
            </w:pPr>
            <w:r>
              <w:rPr>
                <w:rFonts w:eastAsia="SimSun"/>
                <w:sz w:val="18"/>
                <w:szCs w:val="18"/>
                <w:lang w:val="en-US" w:eastAsia="zh-CN" w:bidi="ar"/>
              </w:rPr>
              <w:t>Cycloartobiloxanthone</w:t>
            </w:r>
          </w:p>
        </w:tc>
        <w:tc>
          <w:tcPr>
            <w:tcW w:w="1536" w:type="dxa"/>
            <w:tcMar>
              <w:top w:w="43" w:type="dxa"/>
              <w:left w:w="43" w:type="dxa"/>
              <w:bottom w:w="43" w:type="dxa"/>
              <w:right w:w="43" w:type="dxa"/>
            </w:tcMar>
          </w:tcPr>
          <w:p>
            <w:pPr>
              <w:widowControl/>
              <w:spacing w:after="0" w:line="240" w:lineRule="auto"/>
              <w:jc w:val="center"/>
              <w:rPr>
                <w:sz w:val="18"/>
                <w:szCs w:val="18"/>
                <w:lang w:val="en-US"/>
              </w:rPr>
            </w:pPr>
            <w:r>
              <w:rPr>
                <w:sz w:val="18"/>
                <w:szCs w:val="18"/>
              </w:rPr>
              <w:t>−</w:t>
            </w:r>
            <w:r>
              <w:rPr>
                <w:sz w:val="18"/>
                <w:szCs w:val="18"/>
                <w:lang w:val="en-US"/>
              </w:rPr>
              <w:t>7.7</w:t>
            </w:r>
          </w:p>
        </w:tc>
        <w:tc>
          <w:tcPr>
            <w:tcW w:w="3611" w:type="dxa"/>
            <w:tcMar>
              <w:top w:w="43" w:type="dxa"/>
              <w:left w:w="43" w:type="dxa"/>
              <w:bottom w:w="43" w:type="dxa"/>
              <w:right w:w="43" w:type="dxa"/>
            </w:tcMar>
          </w:tcPr>
          <w:p>
            <w:pPr>
              <w:widowControl/>
              <w:jc w:val="left"/>
              <w:textAlignment w:val="top"/>
              <w:rPr>
                <w:sz w:val="18"/>
                <w:szCs w:val="18"/>
                <w:lang w:val="en-US"/>
              </w:rPr>
            </w:pPr>
            <w:r>
              <w:rPr>
                <w:rFonts w:eastAsia="SimSun"/>
                <w:sz w:val="18"/>
                <w:szCs w:val="18"/>
                <w:lang w:val="en-US" w:eastAsia="zh-CN" w:bidi="ar"/>
              </w:rPr>
              <w:t>HIS41 MET49 LEU141 ASN142 GLY143 CYS145 HIS163 HIS164 MET165 GLU166 LEU167 PRO168 GLN189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1560" w:type="dxa"/>
            <w:tcMar>
              <w:top w:w="43" w:type="dxa"/>
              <w:left w:w="43" w:type="dxa"/>
              <w:bottom w:w="43" w:type="dxa"/>
              <w:right w:w="43" w:type="dxa"/>
            </w:tcMar>
          </w:tcPr>
          <w:p>
            <w:pPr>
              <w:widowControl/>
              <w:jc w:val="left"/>
              <w:textAlignment w:val="bottom"/>
              <w:rPr>
                <w:rFonts w:eastAsia="SimSun"/>
                <w:sz w:val="18"/>
                <w:szCs w:val="18"/>
                <w:lang w:val="en-US" w:eastAsia="zh-CN" w:bidi="ar"/>
              </w:rPr>
            </w:pPr>
            <w:r>
              <w:rPr>
                <w:rFonts w:eastAsia="SimSun"/>
                <w:sz w:val="18"/>
                <w:szCs w:val="18"/>
                <w:lang w:val="en-US" w:eastAsia="zh-CN" w:bidi="ar"/>
              </w:rPr>
              <w:t>IMPHY001629</w:t>
            </w:r>
          </w:p>
          <w:p>
            <w:pPr>
              <w:widowControl/>
              <w:jc w:val="left"/>
              <w:textAlignment w:val="bottom"/>
              <w:rPr>
                <w:sz w:val="18"/>
                <w:szCs w:val="18"/>
                <w:lang w:val="en-US"/>
              </w:rPr>
            </w:pPr>
            <w:r>
              <w:rPr>
                <w:rFonts w:eastAsia="SimSun"/>
                <w:sz w:val="18"/>
                <w:szCs w:val="18"/>
                <w:lang w:val="en-US" w:eastAsia="zh-CN" w:bidi="ar"/>
              </w:rPr>
              <w:t>(IMPPAT)</w:t>
            </w:r>
          </w:p>
        </w:tc>
        <w:tc>
          <w:tcPr>
            <w:tcW w:w="2376" w:type="dxa"/>
            <w:tcMar>
              <w:top w:w="43" w:type="dxa"/>
              <w:left w:w="43" w:type="dxa"/>
              <w:bottom w:w="43" w:type="dxa"/>
              <w:right w:w="43" w:type="dxa"/>
            </w:tcMar>
          </w:tcPr>
          <w:p>
            <w:pPr>
              <w:widowControl/>
              <w:jc w:val="left"/>
              <w:textAlignment w:val="top"/>
              <w:rPr>
                <w:sz w:val="18"/>
                <w:szCs w:val="18"/>
                <w:lang w:val="en-US"/>
              </w:rPr>
            </w:pPr>
            <w:r>
              <w:rPr>
                <w:rFonts w:eastAsia="SimSun"/>
                <w:sz w:val="18"/>
                <w:szCs w:val="18"/>
                <w:lang w:val="en-US" w:eastAsia="zh-CN" w:bidi="ar"/>
              </w:rPr>
              <w:t>Artomunoxanthentrione</w:t>
            </w:r>
          </w:p>
        </w:tc>
        <w:tc>
          <w:tcPr>
            <w:tcW w:w="1536" w:type="dxa"/>
            <w:tcMar>
              <w:top w:w="43" w:type="dxa"/>
              <w:left w:w="43" w:type="dxa"/>
              <w:bottom w:w="43" w:type="dxa"/>
              <w:right w:w="43" w:type="dxa"/>
            </w:tcMar>
          </w:tcPr>
          <w:p>
            <w:pPr>
              <w:widowControl/>
              <w:spacing w:after="0" w:line="240" w:lineRule="auto"/>
              <w:jc w:val="center"/>
              <w:rPr>
                <w:sz w:val="18"/>
                <w:szCs w:val="18"/>
                <w:lang w:val="en-US"/>
              </w:rPr>
            </w:pPr>
            <w:r>
              <w:rPr>
                <w:sz w:val="18"/>
                <w:szCs w:val="18"/>
              </w:rPr>
              <w:t>−</w:t>
            </w:r>
            <w:r>
              <w:rPr>
                <w:sz w:val="18"/>
                <w:szCs w:val="18"/>
                <w:lang w:val="en-US"/>
              </w:rPr>
              <w:t>8.3</w:t>
            </w:r>
          </w:p>
        </w:tc>
        <w:tc>
          <w:tcPr>
            <w:tcW w:w="3611" w:type="dxa"/>
            <w:tcMar>
              <w:top w:w="43" w:type="dxa"/>
              <w:left w:w="43" w:type="dxa"/>
              <w:bottom w:w="43" w:type="dxa"/>
              <w:right w:w="43" w:type="dxa"/>
            </w:tcMar>
          </w:tcPr>
          <w:p>
            <w:pPr>
              <w:widowControl/>
              <w:jc w:val="left"/>
              <w:textAlignment w:val="top"/>
              <w:rPr>
                <w:sz w:val="18"/>
                <w:szCs w:val="18"/>
                <w:lang w:val="en-US"/>
              </w:rPr>
            </w:pPr>
            <w:r>
              <w:rPr>
                <w:rFonts w:eastAsia="SimSun"/>
                <w:sz w:val="18"/>
                <w:szCs w:val="18"/>
                <w:lang w:val="en-US" w:eastAsia="zh-CN" w:bidi="ar"/>
              </w:rPr>
              <w:t>THR24 THR25 THR26 LEU27 HIS41 CYS44 THR45 SER46 MET49 PHE140 LEU141 ASN142 GLY143 ALA144 CYS145 HIS163 GLU166 LEU167 PRO168 GLN189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1560" w:type="dxa"/>
            <w:tcMar>
              <w:top w:w="43" w:type="dxa"/>
              <w:left w:w="43" w:type="dxa"/>
              <w:bottom w:w="43" w:type="dxa"/>
              <w:right w:w="43" w:type="dxa"/>
            </w:tcMar>
          </w:tcPr>
          <w:p>
            <w:pPr>
              <w:widowControl/>
              <w:jc w:val="left"/>
              <w:textAlignment w:val="bottom"/>
              <w:rPr>
                <w:rFonts w:eastAsia="Roboto"/>
                <w:color w:val="212529"/>
                <w:sz w:val="18"/>
                <w:szCs w:val="18"/>
                <w:lang w:val="en-US" w:eastAsia="zh-CN" w:bidi="ar"/>
              </w:rPr>
            </w:pPr>
            <w:r>
              <w:rPr>
                <w:rFonts w:eastAsia="Roboto"/>
                <w:color w:val="212529"/>
                <w:sz w:val="18"/>
                <w:szCs w:val="18"/>
                <w:lang w:val="en-US" w:eastAsia="zh-CN" w:bidi="ar"/>
              </w:rPr>
              <w:t>IMPHY001678</w:t>
            </w:r>
          </w:p>
          <w:p>
            <w:pPr>
              <w:widowControl/>
              <w:jc w:val="left"/>
              <w:textAlignment w:val="bottom"/>
              <w:rPr>
                <w:sz w:val="18"/>
                <w:szCs w:val="18"/>
                <w:lang w:val="en-US"/>
              </w:rPr>
            </w:pPr>
            <w:r>
              <w:rPr>
                <w:rFonts w:eastAsia="Roboto"/>
                <w:color w:val="212529"/>
                <w:sz w:val="18"/>
                <w:szCs w:val="18"/>
                <w:lang w:val="en-US" w:eastAsia="zh-CN" w:bidi="ar"/>
              </w:rPr>
              <w:t>(IMPPAT)</w:t>
            </w:r>
          </w:p>
        </w:tc>
        <w:tc>
          <w:tcPr>
            <w:tcW w:w="2376" w:type="dxa"/>
            <w:tcMar>
              <w:top w:w="43" w:type="dxa"/>
              <w:left w:w="43" w:type="dxa"/>
              <w:bottom w:w="43" w:type="dxa"/>
              <w:right w:w="43" w:type="dxa"/>
            </w:tcMar>
          </w:tcPr>
          <w:p>
            <w:pPr>
              <w:widowControl/>
              <w:jc w:val="left"/>
              <w:textAlignment w:val="top"/>
              <w:rPr>
                <w:sz w:val="18"/>
                <w:szCs w:val="18"/>
                <w:lang w:val="en-US"/>
              </w:rPr>
            </w:pPr>
            <w:r>
              <w:rPr>
                <w:rFonts w:eastAsia="SimSun"/>
                <w:sz w:val="18"/>
                <w:szCs w:val="18"/>
                <w:lang w:val="en-US" w:eastAsia="zh-CN" w:bidi="ar"/>
              </w:rPr>
              <w:t>Cycloartomunoxanthone</w:t>
            </w:r>
          </w:p>
        </w:tc>
        <w:tc>
          <w:tcPr>
            <w:tcW w:w="1536" w:type="dxa"/>
            <w:tcMar>
              <w:top w:w="43" w:type="dxa"/>
              <w:left w:w="43" w:type="dxa"/>
              <w:bottom w:w="43" w:type="dxa"/>
              <w:right w:w="43" w:type="dxa"/>
            </w:tcMar>
          </w:tcPr>
          <w:p>
            <w:pPr>
              <w:widowControl/>
              <w:spacing w:after="0" w:line="240" w:lineRule="auto"/>
              <w:jc w:val="center"/>
              <w:rPr>
                <w:sz w:val="18"/>
                <w:szCs w:val="18"/>
                <w:lang w:val="en-US"/>
              </w:rPr>
            </w:pPr>
            <w:r>
              <w:rPr>
                <w:sz w:val="18"/>
                <w:szCs w:val="18"/>
              </w:rPr>
              <w:t>−</w:t>
            </w:r>
            <w:r>
              <w:rPr>
                <w:sz w:val="18"/>
                <w:szCs w:val="18"/>
                <w:lang w:val="en-US"/>
              </w:rPr>
              <w:t>8.1</w:t>
            </w:r>
          </w:p>
        </w:tc>
        <w:tc>
          <w:tcPr>
            <w:tcW w:w="3611" w:type="dxa"/>
            <w:tcMar>
              <w:top w:w="43" w:type="dxa"/>
              <w:left w:w="43" w:type="dxa"/>
              <w:bottom w:w="43" w:type="dxa"/>
              <w:right w:w="43" w:type="dxa"/>
            </w:tcMar>
          </w:tcPr>
          <w:p>
            <w:pPr>
              <w:widowControl/>
              <w:jc w:val="left"/>
              <w:textAlignment w:val="top"/>
              <w:rPr>
                <w:sz w:val="18"/>
                <w:szCs w:val="18"/>
                <w:lang w:val="en-US"/>
              </w:rPr>
            </w:pPr>
            <w:r>
              <w:rPr>
                <w:rFonts w:eastAsia="SimSun"/>
                <w:sz w:val="18"/>
                <w:szCs w:val="18"/>
                <w:lang w:val="en-US" w:eastAsia="zh-CN" w:bidi="ar"/>
              </w:rPr>
              <w:t>THR24 THR25 THR26 HIS41 CYS44 THR45 SER46 MET49 PHE140 LEU141 ASN142 GLY143 ALA144 CYS145 HIS163 HIS164 MET165 GLU166 HIS172 GLN189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1560" w:type="dxa"/>
            <w:tcMar>
              <w:top w:w="43" w:type="dxa"/>
              <w:left w:w="43" w:type="dxa"/>
              <w:bottom w:w="43" w:type="dxa"/>
              <w:right w:w="43" w:type="dxa"/>
            </w:tcMar>
          </w:tcPr>
          <w:p>
            <w:pPr>
              <w:widowControl/>
              <w:jc w:val="left"/>
              <w:textAlignment w:val="bottom"/>
              <w:rPr>
                <w:sz w:val="18"/>
                <w:szCs w:val="18"/>
                <w:lang w:val="en-US"/>
              </w:rPr>
            </w:pPr>
            <w:r>
              <w:rPr>
                <w:rFonts w:eastAsia="SimSun"/>
                <w:sz w:val="18"/>
                <w:szCs w:val="18"/>
                <w:lang w:val="en-US" w:eastAsia="zh-CN" w:bidi="ar"/>
              </w:rPr>
              <w:t>155903259 (PubChem)</w:t>
            </w:r>
          </w:p>
        </w:tc>
        <w:tc>
          <w:tcPr>
            <w:tcW w:w="2376" w:type="dxa"/>
            <w:tcMar>
              <w:top w:w="43" w:type="dxa"/>
              <w:left w:w="43" w:type="dxa"/>
              <w:bottom w:w="43" w:type="dxa"/>
              <w:right w:w="43" w:type="dxa"/>
            </w:tcMar>
          </w:tcPr>
          <w:p>
            <w:pPr>
              <w:widowControl/>
              <w:jc w:val="left"/>
              <w:textAlignment w:val="top"/>
              <w:rPr>
                <w:sz w:val="18"/>
                <w:szCs w:val="18"/>
                <w:lang w:val="en-US"/>
              </w:rPr>
            </w:pPr>
            <w:r>
              <w:rPr>
                <w:rFonts w:eastAsia="SimSun"/>
                <w:sz w:val="18"/>
                <w:szCs w:val="18"/>
                <w:lang w:val="en-US" w:eastAsia="zh-CN" w:bidi="ar"/>
              </w:rPr>
              <w:t>Nirmatrelvir</w:t>
            </w:r>
          </w:p>
        </w:tc>
        <w:tc>
          <w:tcPr>
            <w:tcW w:w="1536" w:type="dxa"/>
            <w:tcMar>
              <w:top w:w="43" w:type="dxa"/>
              <w:left w:w="43" w:type="dxa"/>
              <w:bottom w:w="43" w:type="dxa"/>
              <w:right w:w="43" w:type="dxa"/>
            </w:tcMar>
          </w:tcPr>
          <w:p>
            <w:pPr>
              <w:widowControl/>
              <w:spacing w:after="0" w:line="240" w:lineRule="auto"/>
              <w:jc w:val="center"/>
              <w:rPr>
                <w:sz w:val="18"/>
                <w:szCs w:val="18"/>
                <w:lang w:val="en-US"/>
              </w:rPr>
            </w:pPr>
            <w:r>
              <w:rPr>
                <w:sz w:val="18"/>
                <w:szCs w:val="18"/>
              </w:rPr>
              <w:t>−</w:t>
            </w:r>
            <w:r>
              <w:rPr>
                <w:sz w:val="18"/>
                <w:szCs w:val="18"/>
                <w:lang w:val="en-US"/>
              </w:rPr>
              <w:t>8.1</w:t>
            </w:r>
          </w:p>
        </w:tc>
        <w:tc>
          <w:tcPr>
            <w:tcW w:w="3611" w:type="dxa"/>
            <w:tcMar>
              <w:top w:w="43" w:type="dxa"/>
              <w:left w:w="43" w:type="dxa"/>
              <w:bottom w:w="43" w:type="dxa"/>
              <w:right w:w="43" w:type="dxa"/>
            </w:tcMar>
          </w:tcPr>
          <w:p>
            <w:pPr>
              <w:widowControl/>
              <w:jc w:val="left"/>
              <w:textAlignment w:val="top"/>
              <w:rPr>
                <w:rFonts w:eastAsia="SimSun"/>
                <w:sz w:val="18"/>
                <w:szCs w:val="18"/>
                <w:lang w:val="en-US" w:eastAsia="zh-CN" w:bidi="ar"/>
              </w:rPr>
            </w:pPr>
            <w:r>
              <w:rPr>
                <w:rFonts w:eastAsia="SimSun"/>
                <w:sz w:val="18"/>
                <w:szCs w:val="18"/>
                <w:lang w:val="en-US" w:eastAsia="zh-CN" w:bidi="ar"/>
              </w:rPr>
              <w:t>THR25 THR26 LEU27 HIS41 CYS44 THR45 SER46 MET49 PHE140 LEU141 ASN142 GLY143 ALA144 CYS145 HIS163 HIS164 MET165 GLU166 ARG188 GLN189</w:t>
            </w:r>
          </w:p>
        </w:tc>
      </w:tr>
    </w:tbl>
    <w:p>
      <w:pPr>
        <w:rPr>
          <w:rFonts w:eastAsia="Gungsuh"/>
          <w:lang w:val="en-US"/>
        </w:rPr>
      </w:pPr>
    </w:p>
    <w:p>
      <w:pPr>
        <w:rPr>
          <w:b/>
          <w:sz w:val="20"/>
          <w:szCs w:val="20"/>
          <w:lang w:val="en-US"/>
        </w:rPr>
      </w:pPr>
    </w:p>
    <w:p>
      <w:pPr>
        <w:rPr>
          <w:sz w:val="20"/>
          <w:szCs w:val="20"/>
          <w:lang w:val="en-US"/>
        </w:rPr>
      </w:pPr>
      <w:r>
        <w:rPr>
          <w:sz w:val="20"/>
          <w:szCs w:val="20"/>
          <w:lang w:val="en-US"/>
        </w:rPr>
        <w:drawing>
          <wp:inline distT="0" distB="0" distL="114300" distR="114300">
            <wp:extent cx="5715000" cy="6429375"/>
            <wp:effectExtent l="0" t="0" r="0" b="1905"/>
            <wp:docPr id="4" name="Picture 4"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2"/>
                    <pic:cNvPicPr>
                      <a:picLocks noChangeAspect="1"/>
                    </pic:cNvPicPr>
                  </pic:nvPicPr>
                  <pic:blipFill>
                    <a:blip r:embed="rId12"/>
                    <a:stretch>
                      <a:fillRect/>
                    </a:stretch>
                  </pic:blipFill>
                  <pic:spPr>
                    <a:xfrm>
                      <a:off x="0" y="0"/>
                      <a:ext cx="5715000" cy="6429375"/>
                    </a:xfrm>
                    <a:prstGeom prst="rect">
                      <a:avLst/>
                    </a:prstGeom>
                  </pic:spPr>
                </pic:pic>
              </a:graphicData>
            </a:graphic>
          </wp:inline>
        </w:drawing>
      </w:r>
    </w:p>
    <w:p>
      <w:pPr>
        <w:jc w:val="center"/>
        <w:rPr>
          <w:sz w:val="20"/>
          <w:szCs w:val="20"/>
          <w:lang w:val="en-US"/>
        </w:rPr>
      </w:pPr>
      <w:r>
        <w:rPr>
          <w:b/>
          <w:sz w:val="20"/>
          <w:szCs w:val="20"/>
        </w:rPr>
        <w:t xml:space="preserve">Figure </w:t>
      </w:r>
      <w:r>
        <w:rPr>
          <w:b/>
          <w:sz w:val="20"/>
          <w:szCs w:val="20"/>
          <w:lang w:val="en-US"/>
        </w:rPr>
        <w:t>2</w:t>
      </w:r>
      <w:r>
        <w:rPr>
          <w:b/>
          <w:sz w:val="20"/>
          <w:szCs w:val="20"/>
        </w:rPr>
        <w:t>:</w:t>
      </w:r>
      <w:r>
        <w:rPr>
          <w:sz w:val="20"/>
          <w:szCs w:val="20"/>
        </w:rPr>
        <w:t xml:space="preserve"> </w:t>
      </w:r>
      <w:r>
        <w:rPr>
          <w:sz w:val="20"/>
          <w:szCs w:val="20"/>
          <w:lang w:val="en-US"/>
        </w:rPr>
        <w:t>3D conformations (left) and 2D view of the docking outputs of (A) cycloartomunin, (B) dihydrocycloartomunin, (C) cycloartobiloxanthone, (D) artomunoxanthentrione, (E) cycloartomunoxanthone, and (F) nirmatrelvir in complex with M</w:t>
      </w:r>
      <w:r>
        <w:rPr>
          <w:sz w:val="20"/>
          <w:szCs w:val="20"/>
          <w:vertAlign w:val="superscript"/>
          <w:lang w:val="en-US"/>
        </w:rPr>
        <w:t>pro</w:t>
      </w:r>
      <w:r>
        <w:rPr>
          <w:sz w:val="20"/>
          <w:szCs w:val="20"/>
          <w:lang w:val="en-US"/>
        </w:rPr>
        <w:t>.</w:t>
      </w:r>
    </w:p>
    <w:p>
      <w:pPr>
        <w:rPr>
          <w:sz w:val="20"/>
          <w:szCs w:val="20"/>
          <w:lang w:val="en-US"/>
        </w:rPr>
      </w:pPr>
      <w:r>
        <w:rPr>
          <w:sz w:val="20"/>
          <w:szCs w:val="20"/>
          <w:lang w:val="en-US"/>
        </w:rPr>
        <w:br w:type="page"/>
      </w:r>
    </w:p>
    <w:p>
      <w:pPr>
        <w:rPr>
          <w:sz w:val="20"/>
          <w:szCs w:val="20"/>
          <w:lang w:val="en-US"/>
        </w:rPr>
      </w:pPr>
      <w:r>
        <w:rPr>
          <w:sz w:val="20"/>
          <w:szCs w:val="20"/>
          <w:lang w:val="en-US"/>
        </w:rPr>
        <w:drawing>
          <wp:inline distT="0" distB="0" distL="114300" distR="114300">
            <wp:extent cx="5715000" cy="6429375"/>
            <wp:effectExtent l="0" t="0" r="0" b="1905"/>
            <wp:docPr id="5" name="Picture 5" descr="Figure-2(con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2(contd.)"/>
                    <pic:cNvPicPr>
                      <a:picLocks noChangeAspect="1"/>
                    </pic:cNvPicPr>
                  </pic:nvPicPr>
                  <pic:blipFill>
                    <a:blip r:embed="rId13"/>
                    <a:stretch>
                      <a:fillRect/>
                    </a:stretch>
                  </pic:blipFill>
                  <pic:spPr>
                    <a:xfrm>
                      <a:off x="0" y="0"/>
                      <a:ext cx="5715000" cy="6429375"/>
                    </a:xfrm>
                    <a:prstGeom prst="rect">
                      <a:avLst/>
                    </a:prstGeom>
                  </pic:spPr>
                </pic:pic>
              </a:graphicData>
            </a:graphic>
          </wp:inline>
        </w:drawing>
      </w:r>
    </w:p>
    <w:p>
      <w:pPr>
        <w:jc w:val="center"/>
        <w:rPr>
          <w:sz w:val="20"/>
          <w:szCs w:val="20"/>
          <w:lang w:val="en-US"/>
        </w:rPr>
      </w:pPr>
      <w:r>
        <w:rPr>
          <w:b/>
          <w:sz w:val="20"/>
          <w:szCs w:val="20"/>
        </w:rPr>
        <w:t xml:space="preserve">Figure </w:t>
      </w:r>
      <w:r>
        <w:rPr>
          <w:b/>
          <w:sz w:val="20"/>
          <w:szCs w:val="20"/>
          <w:lang w:val="en-US"/>
        </w:rPr>
        <w:t>2</w:t>
      </w:r>
      <w:r>
        <w:rPr>
          <w:b/>
          <w:sz w:val="20"/>
          <w:szCs w:val="20"/>
        </w:rPr>
        <w:t>:</w:t>
      </w:r>
      <w:r>
        <w:rPr>
          <w:sz w:val="20"/>
          <w:szCs w:val="20"/>
        </w:rPr>
        <w:t xml:space="preserve"> </w:t>
      </w:r>
      <w:r>
        <w:rPr>
          <w:sz w:val="20"/>
          <w:szCs w:val="20"/>
          <w:lang w:val="en-US"/>
        </w:rPr>
        <w:t>(continued).</w:t>
      </w:r>
    </w:p>
    <w:p>
      <w:pPr>
        <w:rPr>
          <w:sz w:val="20"/>
          <w:szCs w:val="20"/>
          <w:lang w:val="en-US"/>
        </w:rPr>
      </w:pPr>
      <w:r>
        <w:rPr>
          <w:sz w:val="20"/>
          <w:szCs w:val="20"/>
          <w:lang w:val="en-US"/>
        </w:rPr>
        <w:br w:type="page"/>
      </w:r>
    </w:p>
    <w:p>
      <w:pPr>
        <w:rPr>
          <w:rFonts w:eastAsia="Calibri"/>
          <w:lang w:val="en-US"/>
        </w:rPr>
      </w:pPr>
      <w:bookmarkStart w:id="12" w:name="_cyf4ruokqffe" w:colFirst="0" w:colLast="0"/>
      <w:bookmarkEnd w:id="12"/>
      <w:r>
        <w:rPr>
          <w:rFonts w:eastAsia="Calibri"/>
          <w:lang w:val="en-US"/>
        </w:rPr>
        <w:t>The physicochemical, pharmacokinetic, and pharmacodynamic aspects of the compounds were analyzed using the data obtained from Protox-II and SwissADME. The ADME profiles give a detailed overview of the molecular weights (MWs), topological polar surface areas (TPSAs), lipophilicity, water solubility, gastrointestinal absorptions, bioavailability scores, blood-brain barrier (BBB) permeability, and certain parameters for the ligands. These factors reflect how well molecules will be absorbed, distributed, metabolized, and eventually eliminated once they reach the human body. All of the molecules under investigation have been found to conform to Lipinski’s rule of five and the Ghose rule, indicating their potential for oral bioavailability.</w:t>
      </w:r>
    </w:p>
    <w:p>
      <w:pPr>
        <w:rPr>
          <w:rFonts w:eastAsia="Calibri"/>
          <w:lang w:val="en-US"/>
        </w:rPr>
      </w:pPr>
      <w:r>
        <w:rPr>
          <w:rFonts w:eastAsia="Calibri"/>
          <w:lang w:val="en-US"/>
        </w:rPr>
        <w:t>In particular, the relationship between the TPSA value and the permeability of the blood-brain barrier has been considered, with TPSA below 90 Å</w:t>
      </w:r>
      <w:r>
        <w:rPr>
          <w:rFonts w:eastAsia="Calibri"/>
          <w:vertAlign w:val="superscript"/>
          <w:lang w:val="en-US"/>
        </w:rPr>
        <w:t>2</w:t>
      </w:r>
      <w:r>
        <w:rPr>
          <w:rFonts w:eastAsia="Calibri"/>
          <w:lang w:val="en-US"/>
        </w:rPr>
        <w:t> being associated with higher permeability and those above 140 Å</w:t>
      </w:r>
      <w:r>
        <w:rPr>
          <w:rFonts w:eastAsia="Calibri"/>
          <w:vertAlign w:val="superscript"/>
          <w:lang w:val="en-US"/>
        </w:rPr>
        <w:t>2</w:t>
      </w:r>
      <w:r>
        <w:rPr>
          <w:rFonts w:eastAsia="Calibri"/>
          <w:lang w:val="en-US"/>
        </w:rPr>
        <w:t xml:space="preserve"> being linked to lower permeability (Hitchcock &amp; Pennington, 2006; Pajouhesh &amp; Lenz, 2005). Among the test compounds, cycloartomunoxanthone exhibits the lowest TPSA of 96.36 Å</w:t>
      </w:r>
      <w:r>
        <w:rPr>
          <w:rFonts w:eastAsia="Calibri"/>
          <w:vertAlign w:val="superscript"/>
          <w:lang w:val="en-US"/>
        </w:rPr>
        <w:t>2</w:t>
      </w:r>
      <w:r>
        <w:rPr>
          <w:rFonts w:eastAsia="Calibri"/>
          <w:lang w:val="en-US"/>
        </w:rPr>
        <w:t>, while dihydrocycloartomunin and cycloartobiloxanthone shows the highest TPSA, that is 109.36 Å</w:t>
      </w:r>
      <w:r>
        <w:rPr>
          <w:rFonts w:eastAsia="Calibri"/>
          <w:vertAlign w:val="superscript"/>
          <w:lang w:val="en-US"/>
        </w:rPr>
        <w:t>2</w:t>
      </w:r>
      <w:r>
        <w:rPr>
          <w:rFonts w:eastAsia="Calibri"/>
          <w:lang w:val="en-US"/>
        </w:rPr>
        <w:t>. However, artomunoxanthentrione and cycloartomunin showed TPSA values of 103.04 Å</w:t>
      </w:r>
      <w:r>
        <w:rPr>
          <w:rFonts w:eastAsia="Calibri"/>
          <w:vertAlign w:val="superscript"/>
          <w:lang w:val="en-US"/>
        </w:rPr>
        <w:t>2</w:t>
      </w:r>
      <w:r>
        <w:rPr>
          <w:rFonts w:eastAsia="Calibri"/>
          <w:lang w:val="en-US"/>
        </w:rPr>
        <w:t> and 98.36 Å</w:t>
      </w:r>
      <w:r>
        <w:rPr>
          <w:rFonts w:eastAsia="Calibri"/>
          <w:vertAlign w:val="superscript"/>
          <w:lang w:val="en-US"/>
        </w:rPr>
        <w:t>2</w:t>
      </w:r>
      <w:r>
        <w:rPr>
          <w:rFonts w:eastAsia="Calibri"/>
          <w:lang w:val="en-US"/>
        </w:rPr>
        <w:t>, respectively. Normatrelvir, the standard inhibitor exhibits a TPSA of 131.40 Å</w:t>
      </w:r>
      <w:r>
        <w:rPr>
          <w:rFonts w:eastAsia="Calibri"/>
          <w:vertAlign w:val="superscript"/>
          <w:lang w:val="en-US"/>
        </w:rPr>
        <w:t>2</w:t>
      </w:r>
      <w:r>
        <w:rPr>
          <w:rFonts w:eastAsia="Calibri"/>
          <w:lang w:val="en-US"/>
        </w:rPr>
        <w:t>.</w:t>
      </w:r>
    </w:p>
    <w:p>
      <w:pPr>
        <w:rPr>
          <w:rFonts w:eastAsia="Calibri"/>
          <w:lang w:val="en-US"/>
        </w:rPr>
      </w:pPr>
      <w:r>
        <w:rPr>
          <w:rFonts w:eastAsia="Calibri"/>
          <w:lang w:val="en-US"/>
        </w:rPr>
        <w:t>According to Lipinski’s rule of five, drugs intended for oral administration should have a lipophilicity value below 5.0. All molecules investigated in this study were found to have lipophilicity (MLogP) below this threshold. Artomunoxanthentrione exhibited the lowest MLogP value as a test compound, which is 1.06, whereas that of cycloartomunoxanthone is 1.84 (highest among the test compounds). Cycloartomunin, dihydrocycloartomunin, and cycloartobiloxanthone have MLogP values of 1.77, 1.77, and 1.63, respectively (as shown in Table 2). The standard inhibitor, nirmatrelvir, has a value of 0.41. Water solubility (LogS (ESOL)) was also investigated for each compound. Cycloartomunin, dihydrocycloartomunin, cycloartobiloxanthone, artomunoxanthentrione, and cycloartomunoxanthone have LogS (ESOL) values of −6.10, −6.39, −5.46, −6.05, and −5.67, respectively. Nirmatrelvir occupies a LogS (ESOL) of −3.58. All five of the test compounds were found to have poor water solubility except cycloartobiloxanthone and cycloartomunoxanthone (both are moderately soluble). However, all the test compounds and the standard inhibitor show high gastrointestinal absorption, and each has a bioavailability score of 0.55, except artomunoxanthentrione (0.56). Cycloartobiloxanthone and Cycloartomunoxanthone were found to be substrates of the P-glycoprotein (P-gp).</w:t>
      </w:r>
    </w:p>
    <w:p>
      <w:pPr>
        <w:rPr>
          <w:rFonts w:eastAsia="Calibri"/>
          <w:lang w:val="en-US"/>
        </w:rPr>
      </w:pPr>
      <w:r>
        <w:rPr>
          <w:rFonts w:eastAsia="Calibri"/>
          <w:lang w:val="en-US"/>
        </w:rPr>
        <w:t>In terms of toxicity, the lethal dose 50 (LD50) for cycloartomunin, dihydrocycloartomunin, cycloartobiloxanthone, artomunoxanthentrione, and cycloartomunoxanthone are 5000, 5000, 2500, 120, and 5000 mg/kg, respectively. All test compounds except artomunoxanthentrione belong to toxicity class 5. The toxicity class of artomunoxanthentrione is 3. Nirmatrelvir, on the other hand, has a LD50 of 3000 mg/kg and belongs to toxicity class 5. It is important to mention that the higher the toxicity class, the safer the molecule would be while considering the amount administered.</w:t>
      </w:r>
    </w:p>
    <w:p>
      <w:pPr>
        <w:rPr>
          <w:b/>
          <w:sz w:val="20"/>
          <w:szCs w:val="20"/>
        </w:rPr>
      </w:pPr>
      <w:r>
        <w:rPr>
          <w:b/>
          <w:sz w:val="20"/>
          <w:szCs w:val="20"/>
        </w:rPr>
        <w:br w:type="page"/>
      </w:r>
    </w:p>
    <w:p>
      <w:pPr>
        <w:spacing w:before="360"/>
        <w:jc w:val="center"/>
        <w:rPr>
          <w:sz w:val="20"/>
          <w:szCs w:val="20"/>
        </w:rPr>
      </w:pPr>
      <w:r>
        <w:rPr>
          <w:b/>
          <w:sz w:val="20"/>
          <w:szCs w:val="20"/>
        </w:rPr>
        <w:t xml:space="preserve">Table </w:t>
      </w:r>
      <w:r>
        <w:rPr>
          <w:b/>
          <w:sz w:val="20"/>
          <w:szCs w:val="20"/>
          <w:lang w:val="en-US"/>
        </w:rPr>
        <w:t>2:</w:t>
      </w:r>
      <w:r>
        <w:rPr>
          <w:sz w:val="20"/>
          <w:szCs w:val="20"/>
        </w:rPr>
        <w:t xml:space="preserve"> The physicochemical, pharmacokinetic, and pharmacodynamic properties of the molecules with the top 6 docking scores retrieved from SwissADME and Protox-II.</w:t>
      </w:r>
    </w:p>
    <w:tbl>
      <w:tblPr>
        <w:tblStyle w:val="22"/>
        <w:tblW w:w="903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365"/>
        <w:gridCol w:w="1189"/>
        <w:gridCol w:w="1353"/>
        <w:gridCol w:w="1276"/>
        <w:gridCol w:w="1246"/>
        <w:gridCol w:w="1266"/>
        <w:gridCol w:w="13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blHeader/>
          <w:jc w:val="center"/>
        </w:trPr>
        <w:tc>
          <w:tcPr>
            <w:tcW w:w="1365" w:type="dxa"/>
            <w:shd w:val="clear" w:color="auto" w:fill="D9D9D9"/>
            <w:tcMar>
              <w:top w:w="100" w:type="dxa"/>
              <w:left w:w="100" w:type="dxa"/>
              <w:bottom w:w="100" w:type="dxa"/>
              <w:right w:w="100" w:type="dxa"/>
            </w:tcMar>
          </w:tcPr>
          <w:p>
            <w:pPr>
              <w:widowControl w:val="0"/>
              <w:spacing w:after="0" w:line="240" w:lineRule="auto"/>
              <w:jc w:val="left"/>
              <w:rPr>
                <w:b/>
                <w:sz w:val="18"/>
                <w:szCs w:val="18"/>
                <w:lang w:val="en-US"/>
              </w:rPr>
            </w:pPr>
            <w:r>
              <w:rPr>
                <w:b/>
                <w:sz w:val="18"/>
                <w:szCs w:val="18"/>
                <w:lang w:val="en-US"/>
              </w:rPr>
              <w:t>Property</w:t>
            </w:r>
          </w:p>
        </w:tc>
        <w:tc>
          <w:tcPr>
            <w:tcW w:w="1189" w:type="dxa"/>
            <w:shd w:val="clear" w:color="auto" w:fill="D9D9D9"/>
            <w:tcMar>
              <w:top w:w="100" w:type="dxa"/>
              <w:left w:w="100" w:type="dxa"/>
              <w:bottom w:w="100" w:type="dxa"/>
              <w:right w:w="100" w:type="dxa"/>
            </w:tcMar>
          </w:tcPr>
          <w:p>
            <w:pPr>
              <w:widowControl w:val="0"/>
              <w:spacing w:after="0" w:line="240" w:lineRule="auto"/>
              <w:jc w:val="center"/>
              <w:rPr>
                <w:b/>
                <w:sz w:val="18"/>
                <w:szCs w:val="18"/>
                <w:lang w:val="en-US"/>
              </w:rPr>
            </w:pPr>
            <w:r>
              <w:rPr>
                <w:b/>
                <w:sz w:val="18"/>
                <w:szCs w:val="18"/>
                <w:lang w:val="en-US"/>
              </w:rPr>
              <w:t>Cycloartomunin</w:t>
            </w:r>
          </w:p>
        </w:tc>
        <w:tc>
          <w:tcPr>
            <w:tcW w:w="1353" w:type="dxa"/>
            <w:shd w:val="clear" w:color="auto" w:fill="D9D9D9"/>
            <w:tcMar>
              <w:top w:w="100" w:type="dxa"/>
              <w:left w:w="100" w:type="dxa"/>
              <w:bottom w:w="100" w:type="dxa"/>
              <w:right w:w="100" w:type="dxa"/>
            </w:tcMar>
          </w:tcPr>
          <w:p>
            <w:pPr>
              <w:widowControl w:val="0"/>
              <w:spacing w:after="0" w:line="240" w:lineRule="auto"/>
              <w:jc w:val="center"/>
              <w:rPr>
                <w:b/>
                <w:sz w:val="18"/>
                <w:szCs w:val="18"/>
                <w:lang w:val="en-US"/>
              </w:rPr>
            </w:pPr>
            <w:r>
              <w:rPr>
                <w:b/>
                <w:sz w:val="18"/>
                <w:szCs w:val="18"/>
                <w:lang w:val="en-US"/>
              </w:rPr>
              <w:t>Dihydrocycloartomunin</w:t>
            </w:r>
          </w:p>
        </w:tc>
        <w:tc>
          <w:tcPr>
            <w:tcW w:w="1276" w:type="dxa"/>
            <w:shd w:val="clear" w:color="auto" w:fill="D9D9D9"/>
            <w:tcMar>
              <w:top w:w="100" w:type="dxa"/>
              <w:left w:w="100" w:type="dxa"/>
              <w:bottom w:w="100" w:type="dxa"/>
              <w:right w:w="100" w:type="dxa"/>
            </w:tcMar>
          </w:tcPr>
          <w:p>
            <w:pPr>
              <w:widowControl w:val="0"/>
              <w:spacing w:after="0" w:line="240" w:lineRule="auto"/>
              <w:jc w:val="center"/>
              <w:rPr>
                <w:b/>
                <w:sz w:val="18"/>
                <w:szCs w:val="18"/>
                <w:lang w:val="en-US"/>
              </w:rPr>
            </w:pPr>
            <w:r>
              <w:rPr>
                <w:b/>
                <w:sz w:val="18"/>
                <w:szCs w:val="18"/>
                <w:lang w:val="en-US"/>
              </w:rPr>
              <w:t>Cycloartobiloxanthone</w:t>
            </w:r>
          </w:p>
        </w:tc>
        <w:tc>
          <w:tcPr>
            <w:tcW w:w="1246" w:type="dxa"/>
            <w:shd w:val="clear" w:color="auto" w:fill="D9D9D9"/>
            <w:tcMar>
              <w:top w:w="100" w:type="dxa"/>
              <w:left w:w="100" w:type="dxa"/>
              <w:bottom w:w="100" w:type="dxa"/>
              <w:right w:w="100" w:type="dxa"/>
            </w:tcMar>
          </w:tcPr>
          <w:p>
            <w:pPr>
              <w:widowControl w:val="0"/>
              <w:spacing w:after="0" w:line="240" w:lineRule="auto"/>
              <w:jc w:val="center"/>
              <w:rPr>
                <w:b/>
                <w:sz w:val="18"/>
                <w:szCs w:val="18"/>
                <w:lang w:val="en-US"/>
              </w:rPr>
            </w:pPr>
            <w:r>
              <w:rPr>
                <w:b/>
                <w:sz w:val="18"/>
                <w:szCs w:val="18"/>
                <w:lang w:val="en-US"/>
              </w:rPr>
              <w:t>Artomunoxanthentrione</w:t>
            </w:r>
          </w:p>
        </w:tc>
        <w:tc>
          <w:tcPr>
            <w:tcW w:w="1266" w:type="dxa"/>
            <w:shd w:val="clear" w:color="auto" w:fill="D9D9D9"/>
            <w:tcMar>
              <w:top w:w="100" w:type="dxa"/>
              <w:left w:w="100" w:type="dxa"/>
              <w:bottom w:w="100" w:type="dxa"/>
              <w:right w:w="100" w:type="dxa"/>
            </w:tcMar>
          </w:tcPr>
          <w:p>
            <w:pPr>
              <w:widowControl w:val="0"/>
              <w:spacing w:after="0" w:line="240" w:lineRule="auto"/>
              <w:jc w:val="center"/>
              <w:rPr>
                <w:b/>
                <w:sz w:val="18"/>
                <w:szCs w:val="18"/>
                <w:lang w:val="en-US"/>
              </w:rPr>
            </w:pPr>
            <w:r>
              <w:rPr>
                <w:b/>
                <w:sz w:val="18"/>
                <w:szCs w:val="18"/>
                <w:lang w:val="en-US"/>
              </w:rPr>
              <w:t>Cycloartomunoxanthone</w:t>
            </w:r>
          </w:p>
        </w:tc>
        <w:tc>
          <w:tcPr>
            <w:tcW w:w="1335" w:type="dxa"/>
            <w:shd w:val="clear" w:color="auto" w:fill="D9D9D9"/>
            <w:tcMar>
              <w:top w:w="100" w:type="dxa"/>
              <w:left w:w="100" w:type="dxa"/>
              <w:bottom w:w="100" w:type="dxa"/>
              <w:right w:w="100" w:type="dxa"/>
            </w:tcMar>
          </w:tcPr>
          <w:p>
            <w:pPr>
              <w:widowControl w:val="0"/>
              <w:spacing w:after="0" w:line="240" w:lineRule="auto"/>
              <w:jc w:val="center"/>
              <w:rPr>
                <w:b/>
                <w:sz w:val="18"/>
                <w:szCs w:val="18"/>
                <w:lang w:val="en-US"/>
              </w:rPr>
            </w:pPr>
            <w:r>
              <w:rPr>
                <w:b/>
                <w:sz w:val="18"/>
                <w:szCs w:val="18"/>
                <w:lang w:val="en-US"/>
              </w:rPr>
              <w:t>Nirmatrelvir (standard)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365" w:type="dxa"/>
            <w:shd w:val="clear" w:color="auto" w:fill="auto"/>
            <w:tcMar>
              <w:top w:w="100" w:type="dxa"/>
              <w:left w:w="100" w:type="dxa"/>
              <w:bottom w:w="100" w:type="dxa"/>
              <w:right w:w="100" w:type="dxa"/>
            </w:tcMar>
          </w:tcPr>
          <w:p>
            <w:pPr>
              <w:widowControl w:val="0"/>
              <w:spacing w:after="0" w:line="240" w:lineRule="auto"/>
              <w:jc w:val="left"/>
              <w:rPr>
                <w:b/>
                <w:sz w:val="18"/>
                <w:szCs w:val="18"/>
              </w:rPr>
            </w:pPr>
            <w:r>
              <w:rPr>
                <w:b/>
                <w:sz w:val="18"/>
                <w:szCs w:val="18"/>
              </w:rPr>
              <w:t>MW (g/mol)</w:t>
            </w:r>
          </w:p>
        </w:tc>
        <w:tc>
          <w:tcPr>
            <w:tcW w:w="1189" w:type="dxa"/>
            <w:shd w:val="clear" w:color="auto" w:fill="auto"/>
            <w:tcMar>
              <w:top w:w="100" w:type="dxa"/>
              <w:left w:w="100" w:type="dxa"/>
              <w:bottom w:w="100" w:type="dxa"/>
              <w:right w:w="100" w:type="dxa"/>
            </w:tcMar>
          </w:tcPr>
          <w:p>
            <w:pPr>
              <w:spacing w:after="160" w:line="240" w:lineRule="auto"/>
              <w:jc w:val="center"/>
              <w:rPr>
                <w:sz w:val="18"/>
                <w:szCs w:val="18"/>
                <w:lang w:val="en-US"/>
              </w:rPr>
            </w:pPr>
            <w:r>
              <w:rPr>
                <w:sz w:val="18"/>
                <w:szCs w:val="18"/>
              </w:rPr>
              <w:t>448.46</w:t>
            </w:r>
          </w:p>
        </w:tc>
        <w:tc>
          <w:tcPr>
            <w:tcW w:w="1353"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450.48</w:t>
            </w:r>
          </w:p>
        </w:tc>
        <w:tc>
          <w:tcPr>
            <w:tcW w:w="1276" w:type="dxa"/>
            <w:shd w:val="clear" w:color="auto" w:fill="auto"/>
            <w:tcMar>
              <w:top w:w="100" w:type="dxa"/>
              <w:left w:w="100" w:type="dxa"/>
              <w:bottom w:w="100" w:type="dxa"/>
              <w:right w:w="100" w:type="dxa"/>
            </w:tcMar>
          </w:tcPr>
          <w:p>
            <w:pPr>
              <w:spacing w:after="160" w:line="240" w:lineRule="auto"/>
              <w:jc w:val="center"/>
              <w:rPr>
                <w:sz w:val="18"/>
                <w:szCs w:val="18"/>
                <w:lang w:val="en-US"/>
              </w:rPr>
            </w:pPr>
            <w:r>
              <w:rPr>
                <w:sz w:val="18"/>
                <w:szCs w:val="18"/>
              </w:rPr>
              <w:t>434.44</w:t>
            </w:r>
          </w:p>
        </w:tc>
        <w:tc>
          <w:tcPr>
            <w:tcW w:w="1246" w:type="dxa"/>
            <w:shd w:val="clear" w:color="auto" w:fill="auto"/>
            <w:tcMar>
              <w:top w:w="100" w:type="dxa"/>
              <w:left w:w="100" w:type="dxa"/>
              <w:bottom w:w="100" w:type="dxa"/>
              <w:right w:w="100" w:type="dxa"/>
            </w:tcMar>
          </w:tcPr>
          <w:p>
            <w:pPr>
              <w:spacing w:after="160" w:line="240" w:lineRule="auto"/>
              <w:jc w:val="center"/>
              <w:rPr>
                <w:sz w:val="18"/>
                <w:szCs w:val="18"/>
                <w:lang w:val="en-US"/>
              </w:rPr>
            </w:pPr>
            <w:r>
              <w:rPr>
                <w:sz w:val="18"/>
                <w:szCs w:val="18"/>
              </w:rPr>
              <w:t>444.43</w:t>
            </w:r>
          </w:p>
        </w:tc>
        <w:tc>
          <w:tcPr>
            <w:tcW w:w="1266" w:type="dxa"/>
            <w:shd w:val="clear" w:color="auto" w:fill="auto"/>
            <w:tcMar>
              <w:top w:w="100" w:type="dxa"/>
              <w:left w:w="100" w:type="dxa"/>
              <w:bottom w:w="100" w:type="dxa"/>
              <w:right w:w="100" w:type="dxa"/>
            </w:tcMar>
          </w:tcPr>
          <w:p>
            <w:pPr>
              <w:spacing w:after="160" w:line="240" w:lineRule="auto"/>
              <w:jc w:val="center"/>
              <w:rPr>
                <w:sz w:val="18"/>
                <w:szCs w:val="18"/>
                <w:lang w:val="en-US"/>
              </w:rPr>
            </w:pPr>
            <w:r>
              <w:rPr>
                <w:sz w:val="18"/>
                <w:szCs w:val="18"/>
              </w:rPr>
              <w:t>448.46</w:t>
            </w:r>
          </w:p>
        </w:tc>
        <w:tc>
          <w:tcPr>
            <w:tcW w:w="1335"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499.53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365" w:type="dxa"/>
            <w:shd w:val="clear" w:color="auto" w:fill="auto"/>
            <w:tcMar>
              <w:top w:w="100" w:type="dxa"/>
              <w:left w:w="100" w:type="dxa"/>
              <w:bottom w:w="100" w:type="dxa"/>
              <w:right w:w="100" w:type="dxa"/>
            </w:tcMar>
          </w:tcPr>
          <w:p>
            <w:pPr>
              <w:widowControl w:val="0"/>
              <w:spacing w:after="0" w:line="240" w:lineRule="auto"/>
              <w:jc w:val="left"/>
              <w:rPr>
                <w:b/>
                <w:sz w:val="18"/>
                <w:szCs w:val="18"/>
              </w:rPr>
            </w:pPr>
            <w:r>
              <w:rPr>
                <w:b/>
                <w:sz w:val="18"/>
                <w:szCs w:val="18"/>
              </w:rPr>
              <w:t>TPSA (Å</w:t>
            </w:r>
            <w:r>
              <w:rPr>
                <w:b/>
                <w:sz w:val="18"/>
                <w:szCs w:val="18"/>
                <w:vertAlign w:val="superscript"/>
              </w:rPr>
              <w:t>2</w:t>
            </w:r>
            <w:r>
              <w:rPr>
                <w:b/>
                <w:sz w:val="18"/>
                <w:szCs w:val="18"/>
              </w:rPr>
              <w:t>)</w:t>
            </w:r>
          </w:p>
        </w:tc>
        <w:tc>
          <w:tcPr>
            <w:tcW w:w="1189"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98.36</w:t>
            </w:r>
          </w:p>
        </w:tc>
        <w:tc>
          <w:tcPr>
            <w:tcW w:w="1353"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109.36</w:t>
            </w:r>
          </w:p>
        </w:tc>
        <w:tc>
          <w:tcPr>
            <w:tcW w:w="127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109.36</w:t>
            </w:r>
          </w:p>
        </w:tc>
        <w:tc>
          <w:tcPr>
            <w:tcW w:w="124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103.04</w:t>
            </w:r>
          </w:p>
        </w:tc>
        <w:tc>
          <w:tcPr>
            <w:tcW w:w="126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96.36</w:t>
            </w:r>
          </w:p>
        </w:tc>
        <w:tc>
          <w:tcPr>
            <w:tcW w:w="1335" w:type="dxa"/>
            <w:shd w:val="clear" w:color="auto" w:fill="auto"/>
            <w:tcMar>
              <w:top w:w="100" w:type="dxa"/>
              <w:left w:w="100" w:type="dxa"/>
              <w:bottom w:w="100" w:type="dxa"/>
              <w:right w:w="100" w:type="dxa"/>
            </w:tcMar>
          </w:tcPr>
          <w:p>
            <w:pPr>
              <w:widowControl w:val="0"/>
              <w:spacing w:after="0" w:line="240" w:lineRule="auto"/>
              <w:jc w:val="center"/>
              <w:rPr>
                <w:sz w:val="18"/>
                <w:szCs w:val="18"/>
              </w:rPr>
            </w:pPr>
            <w:r>
              <w:rPr>
                <w:sz w:val="18"/>
                <w:szCs w:val="18"/>
              </w:rPr>
              <w:t>131.40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365" w:type="dxa"/>
            <w:shd w:val="clear" w:color="auto" w:fill="auto"/>
            <w:tcMar>
              <w:top w:w="100" w:type="dxa"/>
              <w:left w:w="100" w:type="dxa"/>
              <w:bottom w:w="100" w:type="dxa"/>
              <w:right w:w="100" w:type="dxa"/>
            </w:tcMar>
          </w:tcPr>
          <w:p>
            <w:pPr>
              <w:widowControl w:val="0"/>
              <w:spacing w:after="0" w:line="240" w:lineRule="auto"/>
              <w:jc w:val="left"/>
              <w:rPr>
                <w:b/>
                <w:sz w:val="18"/>
                <w:szCs w:val="18"/>
              </w:rPr>
            </w:pPr>
            <w:r>
              <w:rPr>
                <w:b/>
                <w:sz w:val="18"/>
                <w:szCs w:val="18"/>
              </w:rPr>
              <w:t>MLogP</w:t>
            </w:r>
          </w:p>
        </w:tc>
        <w:tc>
          <w:tcPr>
            <w:tcW w:w="1189"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1.77</w:t>
            </w:r>
          </w:p>
        </w:tc>
        <w:tc>
          <w:tcPr>
            <w:tcW w:w="1353"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1.77</w:t>
            </w:r>
          </w:p>
        </w:tc>
        <w:tc>
          <w:tcPr>
            <w:tcW w:w="127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1.63</w:t>
            </w:r>
          </w:p>
        </w:tc>
        <w:tc>
          <w:tcPr>
            <w:tcW w:w="124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1.06</w:t>
            </w:r>
          </w:p>
        </w:tc>
        <w:tc>
          <w:tcPr>
            <w:tcW w:w="1266" w:type="dxa"/>
            <w:shd w:val="clear" w:color="auto" w:fill="auto"/>
            <w:tcMar>
              <w:top w:w="100" w:type="dxa"/>
              <w:left w:w="100" w:type="dxa"/>
              <w:bottom w:w="100" w:type="dxa"/>
              <w:right w:w="100" w:type="dxa"/>
            </w:tcMar>
          </w:tcPr>
          <w:p>
            <w:pPr>
              <w:spacing w:after="160" w:line="240" w:lineRule="auto"/>
              <w:jc w:val="center"/>
              <w:rPr>
                <w:sz w:val="18"/>
                <w:szCs w:val="18"/>
                <w:lang w:val="en-US"/>
              </w:rPr>
            </w:pPr>
            <w:r>
              <w:rPr>
                <w:sz w:val="18"/>
                <w:szCs w:val="18"/>
              </w:rPr>
              <w:t>1.84</w:t>
            </w:r>
          </w:p>
        </w:tc>
        <w:tc>
          <w:tcPr>
            <w:tcW w:w="1335" w:type="dxa"/>
            <w:shd w:val="clear" w:color="auto" w:fill="auto"/>
            <w:tcMar>
              <w:top w:w="100" w:type="dxa"/>
              <w:left w:w="100" w:type="dxa"/>
              <w:bottom w:w="100" w:type="dxa"/>
              <w:right w:w="100" w:type="dxa"/>
            </w:tcMar>
          </w:tcPr>
          <w:p>
            <w:pPr>
              <w:widowControl w:val="0"/>
              <w:spacing w:after="0" w:line="240" w:lineRule="auto"/>
              <w:jc w:val="center"/>
              <w:rPr>
                <w:sz w:val="18"/>
                <w:szCs w:val="18"/>
              </w:rPr>
            </w:pPr>
            <w:r>
              <w:rPr>
                <w:sz w:val="18"/>
                <w:szCs w:val="18"/>
                <w:lang w:val="en-US"/>
              </w:rPr>
              <w:t>0.41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365" w:type="dxa"/>
            <w:shd w:val="clear" w:color="auto" w:fill="auto"/>
            <w:tcMar>
              <w:top w:w="100" w:type="dxa"/>
              <w:left w:w="100" w:type="dxa"/>
              <w:bottom w:w="100" w:type="dxa"/>
              <w:right w:w="100" w:type="dxa"/>
            </w:tcMar>
          </w:tcPr>
          <w:p>
            <w:pPr>
              <w:widowControl w:val="0"/>
              <w:spacing w:after="0" w:line="240" w:lineRule="auto"/>
              <w:jc w:val="left"/>
              <w:rPr>
                <w:b/>
                <w:sz w:val="18"/>
                <w:szCs w:val="18"/>
              </w:rPr>
            </w:pPr>
            <w:r>
              <w:rPr>
                <w:b/>
                <w:sz w:val="18"/>
                <w:szCs w:val="18"/>
              </w:rPr>
              <w:t>LogS (ESOL)</w:t>
            </w:r>
          </w:p>
        </w:tc>
        <w:tc>
          <w:tcPr>
            <w:tcW w:w="1189"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−6.10</w:t>
            </w:r>
          </w:p>
        </w:tc>
        <w:tc>
          <w:tcPr>
            <w:tcW w:w="1353"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−6.39</w:t>
            </w:r>
          </w:p>
        </w:tc>
        <w:tc>
          <w:tcPr>
            <w:tcW w:w="127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−5.46</w:t>
            </w:r>
          </w:p>
        </w:tc>
        <w:tc>
          <w:tcPr>
            <w:tcW w:w="124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−6.05</w:t>
            </w:r>
          </w:p>
        </w:tc>
        <w:tc>
          <w:tcPr>
            <w:tcW w:w="126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−5.67</w:t>
            </w:r>
          </w:p>
        </w:tc>
        <w:tc>
          <w:tcPr>
            <w:tcW w:w="1335" w:type="dxa"/>
            <w:shd w:val="clear" w:color="auto" w:fill="auto"/>
            <w:tcMar>
              <w:top w:w="100" w:type="dxa"/>
              <w:left w:w="100" w:type="dxa"/>
              <w:bottom w:w="100" w:type="dxa"/>
              <w:right w:w="100" w:type="dxa"/>
            </w:tcMar>
          </w:tcPr>
          <w:p>
            <w:pPr>
              <w:widowControl w:val="0"/>
              <w:spacing w:after="0" w:line="240" w:lineRule="auto"/>
              <w:jc w:val="center"/>
              <w:rPr>
                <w:sz w:val="18"/>
                <w:szCs w:val="18"/>
              </w:rPr>
            </w:pPr>
            <w:r>
              <w:rPr>
                <w:sz w:val="18"/>
                <w:szCs w:val="18"/>
              </w:rPr>
              <w:t>−3.58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365" w:type="dxa"/>
            <w:shd w:val="clear" w:color="auto" w:fill="auto"/>
            <w:tcMar>
              <w:top w:w="100" w:type="dxa"/>
              <w:left w:w="100" w:type="dxa"/>
              <w:bottom w:w="100" w:type="dxa"/>
              <w:right w:w="100" w:type="dxa"/>
            </w:tcMar>
          </w:tcPr>
          <w:p>
            <w:pPr>
              <w:widowControl w:val="0"/>
              <w:spacing w:after="0" w:line="240" w:lineRule="auto"/>
              <w:jc w:val="left"/>
              <w:rPr>
                <w:b/>
                <w:sz w:val="18"/>
                <w:szCs w:val="18"/>
              </w:rPr>
            </w:pPr>
            <w:r>
              <w:rPr>
                <w:b/>
                <w:sz w:val="18"/>
                <w:szCs w:val="18"/>
              </w:rPr>
              <w:t>ESOL Class</w:t>
            </w:r>
          </w:p>
        </w:tc>
        <w:tc>
          <w:tcPr>
            <w:tcW w:w="1189"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Poorly soluble</w:t>
            </w:r>
          </w:p>
        </w:tc>
        <w:tc>
          <w:tcPr>
            <w:tcW w:w="1353" w:type="dxa"/>
            <w:shd w:val="clear" w:color="auto" w:fill="auto"/>
            <w:tcMar>
              <w:top w:w="100" w:type="dxa"/>
              <w:left w:w="100" w:type="dxa"/>
              <w:bottom w:w="100" w:type="dxa"/>
              <w:right w:w="100" w:type="dxa"/>
            </w:tcMar>
          </w:tcPr>
          <w:p>
            <w:pPr>
              <w:widowControl w:val="0"/>
              <w:spacing w:after="0" w:line="240" w:lineRule="auto"/>
              <w:jc w:val="center"/>
              <w:rPr>
                <w:sz w:val="18"/>
                <w:szCs w:val="18"/>
              </w:rPr>
            </w:pPr>
            <w:r>
              <w:rPr>
                <w:sz w:val="18"/>
                <w:szCs w:val="18"/>
              </w:rPr>
              <w:t>Poorly soluble</w:t>
            </w:r>
          </w:p>
        </w:tc>
        <w:tc>
          <w:tcPr>
            <w:tcW w:w="127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Moderately soluble</w:t>
            </w:r>
          </w:p>
        </w:tc>
        <w:tc>
          <w:tcPr>
            <w:tcW w:w="124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Poorly soluble</w:t>
            </w:r>
          </w:p>
        </w:tc>
        <w:tc>
          <w:tcPr>
            <w:tcW w:w="1266" w:type="dxa"/>
            <w:shd w:val="clear" w:color="auto" w:fill="auto"/>
            <w:tcMar>
              <w:top w:w="100" w:type="dxa"/>
              <w:left w:w="100" w:type="dxa"/>
              <w:bottom w:w="100" w:type="dxa"/>
              <w:right w:w="100" w:type="dxa"/>
            </w:tcMar>
          </w:tcPr>
          <w:p>
            <w:pPr>
              <w:spacing w:after="160" w:line="240" w:lineRule="auto"/>
              <w:jc w:val="center"/>
              <w:rPr>
                <w:sz w:val="18"/>
                <w:szCs w:val="18"/>
                <w:lang w:val="en-US"/>
              </w:rPr>
            </w:pPr>
            <w:r>
              <w:rPr>
                <w:sz w:val="18"/>
                <w:szCs w:val="18"/>
              </w:rPr>
              <w:t>Moderately soluble</w:t>
            </w:r>
          </w:p>
        </w:tc>
        <w:tc>
          <w:tcPr>
            <w:tcW w:w="1335" w:type="dxa"/>
            <w:shd w:val="clear" w:color="auto" w:fill="auto"/>
            <w:tcMar>
              <w:top w:w="100" w:type="dxa"/>
              <w:left w:w="100" w:type="dxa"/>
              <w:bottom w:w="100" w:type="dxa"/>
              <w:right w:w="100" w:type="dxa"/>
            </w:tcMar>
          </w:tcPr>
          <w:p>
            <w:pPr>
              <w:widowControl w:val="0"/>
              <w:spacing w:after="0" w:line="240" w:lineRule="auto"/>
              <w:jc w:val="center"/>
              <w:rPr>
                <w:sz w:val="18"/>
                <w:szCs w:val="18"/>
              </w:rPr>
            </w:pPr>
            <w:r>
              <w:rPr>
                <w:sz w:val="18"/>
                <w:szCs w:val="18"/>
                <w:lang w:val="en-US"/>
              </w:rPr>
              <w:t>Soluble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365" w:type="dxa"/>
            <w:shd w:val="clear" w:color="auto" w:fill="auto"/>
            <w:tcMar>
              <w:top w:w="100" w:type="dxa"/>
              <w:left w:w="100" w:type="dxa"/>
              <w:bottom w:w="100" w:type="dxa"/>
              <w:right w:w="100" w:type="dxa"/>
            </w:tcMar>
          </w:tcPr>
          <w:p>
            <w:pPr>
              <w:widowControl w:val="0"/>
              <w:spacing w:after="0" w:line="240" w:lineRule="auto"/>
              <w:jc w:val="left"/>
              <w:rPr>
                <w:b/>
                <w:sz w:val="18"/>
                <w:szCs w:val="18"/>
              </w:rPr>
            </w:pPr>
            <w:r>
              <w:rPr>
                <w:b/>
                <w:sz w:val="18"/>
                <w:szCs w:val="18"/>
              </w:rPr>
              <w:t>GI absorption</w:t>
            </w:r>
          </w:p>
        </w:tc>
        <w:tc>
          <w:tcPr>
            <w:tcW w:w="1189"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High</w:t>
            </w:r>
          </w:p>
        </w:tc>
        <w:tc>
          <w:tcPr>
            <w:tcW w:w="1353"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High</w:t>
            </w:r>
          </w:p>
        </w:tc>
        <w:tc>
          <w:tcPr>
            <w:tcW w:w="127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High</w:t>
            </w:r>
          </w:p>
        </w:tc>
        <w:tc>
          <w:tcPr>
            <w:tcW w:w="124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High</w:t>
            </w:r>
          </w:p>
        </w:tc>
        <w:tc>
          <w:tcPr>
            <w:tcW w:w="1266" w:type="dxa"/>
            <w:shd w:val="clear" w:color="auto" w:fill="auto"/>
            <w:tcMar>
              <w:top w:w="100" w:type="dxa"/>
              <w:left w:w="100" w:type="dxa"/>
              <w:bottom w:w="100" w:type="dxa"/>
              <w:right w:w="100" w:type="dxa"/>
            </w:tcMar>
          </w:tcPr>
          <w:p>
            <w:pPr>
              <w:spacing w:after="160" w:line="240" w:lineRule="auto"/>
              <w:jc w:val="center"/>
              <w:rPr>
                <w:sz w:val="18"/>
                <w:szCs w:val="18"/>
                <w:lang w:val="en-US"/>
              </w:rPr>
            </w:pPr>
            <w:r>
              <w:rPr>
                <w:sz w:val="18"/>
                <w:szCs w:val="18"/>
              </w:rPr>
              <w:t>High</w:t>
            </w:r>
          </w:p>
        </w:tc>
        <w:tc>
          <w:tcPr>
            <w:tcW w:w="1335" w:type="dxa"/>
            <w:shd w:val="clear" w:color="auto" w:fill="auto"/>
            <w:tcMar>
              <w:top w:w="100" w:type="dxa"/>
              <w:left w:w="100" w:type="dxa"/>
              <w:bottom w:w="100" w:type="dxa"/>
              <w:right w:w="100" w:type="dxa"/>
            </w:tcMar>
          </w:tcPr>
          <w:p>
            <w:pPr>
              <w:widowControl w:val="0"/>
              <w:spacing w:after="0" w:line="240" w:lineRule="auto"/>
              <w:jc w:val="center"/>
              <w:rPr>
                <w:sz w:val="18"/>
                <w:szCs w:val="18"/>
              </w:rPr>
            </w:pPr>
            <w:r>
              <w:rPr>
                <w:sz w:val="18"/>
                <w:szCs w:val="18"/>
                <w:lang w:val="en-US"/>
              </w:rPr>
              <w:t>High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365" w:type="dxa"/>
            <w:shd w:val="clear" w:color="auto" w:fill="auto"/>
            <w:tcMar>
              <w:top w:w="100" w:type="dxa"/>
              <w:left w:w="100" w:type="dxa"/>
              <w:bottom w:w="100" w:type="dxa"/>
              <w:right w:w="100" w:type="dxa"/>
            </w:tcMar>
          </w:tcPr>
          <w:p>
            <w:pPr>
              <w:widowControl w:val="0"/>
              <w:spacing w:after="0" w:line="240" w:lineRule="auto"/>
              <w:jc w:val="left"/>
              <w:rPr>
                <w:b/>
                <w:sz w:val="18"/>
                <w:szCs w:val="18"/>
              </w:rPr>
            </w:pPr>
            <w:r>
              <w:rPr>
                <w:b/>
                <w:sz w:val="18"/>
                <w:szCs w:val="18"/>
              </w:rPr>
              <w:t>Bioavailability score</w:t>
            </w:r>
          </w:p>
        </w:tc>
        <w:tc>
          <w:tcPr>
            <w:tcW w:w="1189"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0.55</w:t>
            </w:r>
          </w:p>
        </w:tc>
        <w:tc>
          <w:tcPr>
            <w:tcW w:w="1353"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0.55</w:t>
            </w:r>
          </w:p>
        </w:tc>
        <w:tc>
          <w:tcPr>
            <w:tcW w:w="127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0.55</w:t>
            </w:r>
          </w:p>
        </w:tc>
        <w:tc>
          <w:tcPr>
            <w:tcW w:w="124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0.56</w:t>
            </w:r>
          </w:p>
        </w:tc>
        <w:tc>
          <w:tcPr>
            <w:tcW w:w="126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0.55</w:t>
            </w:r>
          </w:p>
        </w:tc>
        <w:tc>
          <w:tcPr>
            <w:tcW w:w="1335" w:type="dxa"/>
            <w:shd w:val="clear" w:color="auto" w:fill="auto"/>
            <w:tcMar>
              <w:top w:w="100" w:type="dxa"/>
              <w:left w:w="100" w:type="dxa"/>
              <w:bottom w:w="100" w:type="dxa"/>
              <w:right w:w="100" w:type="dxa"/>
            </w:tcMar>
          </w:tcPr>
          <w:p>
            <w:pPr>
              <w:widowControl w:val="0"/>
              <w:spacing w:after="0" w:line="240" w:lineRule="auto"/>
              <w:jc w:val="center"/>
              <w:rPr>
                <w:sz w:val="18"/>
                <w:szCs w:val="18"/>
              </w:rPr>
            </w:pPr>
            <w:r>
              <w:rPr>
                <w:sz w:val="18"/>
                <w:szCs w:val="18"/>
              </w:rPr>
              <w:t>0.55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365" w:type="dxa"/>
            <w:shd w:val="clear" w:color="auto" w:fill="auto"/>
            <w:tcMar>
              <w:top w:w="100" w:type="dxa"/>
              <w:left w:w="100" w:type="dxa"/>
              <w:bottom w:w="100" w:type="dxa"/>
              <w:right w:w="100" w:type="dxa"/>
            </w:tcMar>
          </w:tcPr>
          <w:p>
            <w:pPr>
              <w:widowControl w:val="0"/>
              <w:spacing w:after="0" w:line="240" w:lineRule="auto"/>
              <w:jc w:val="left"/>
              <w:rPr>
                <w:b/>
                <w:sz w:val="18"/>
                <w:szCs w:val="18"/>
              </w:rPr>
            </w:pPr>
            <w:r>
              <w:rPr>
                <w:b/>
                <w:sz w:val="18"/>
                <w:szCs w:val="18"/>
              </w:rPr>
              <w:t>BBB permeant</w:t>
            </w:r>
          </w:p>
        </w:tc>
        <w:tc>
          <w:tcPr>
            <w:tcW w:w="1189" w:type="dxa"/>
            <w:shd w:val="clear" w:color="auto" w:fill="auto"/>
            <w:tcMar>
              <w:top w:w="100" w:type="dxa"/>
              <w:left w:w="100" w:type="dxa"/>
              <w:bottom w:w="100" w:type="dxa"/>
              <w:right w:w="100" w:type="dxa"/>
            </w:tcMar>
          </w:tcPr>
          <w:p>
            <w:pPr>
              <w:spacing w:after="160" w:line="240" w:lineRule="auto"/>
              <w:jc w:val="center"/>
              <w:rPr>
                <w:sz w:val="18"/>
                <w:szCs w:val="18"/>
                <w:lang w:val="en-US"/>
              </w:rPr>
            </w:pPr>
            <w:r>
              <w:rPr>
                <w:sz w:val="18"/>
                <w:szCs w:val="18"/>
              </w:rPr>
              <w:t>No</w:t>
            </w:r>
          </w:p>
        </w:tc>
        <w:tc>
          <w:tcPr>
            <w:tcW w:w="1353"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No</w:t>
            </w:r>
          </w:p>
        </w:tc>
        <w:tc>
          <w:tcPr>
            <w:tcW w:w="1276" w:type="dxa"/>
            <w:shd w:val="clear" w:color="auto" w:fill="auto"/>
            <w:tcMar>
              <w:top w:w="100" w:type="dxa"/>
              <w:left w:w="100" w:type="dxa"/>
              <w:bottom w:w="100" w:type="dxa"/>
              <w:right w:w="100" w:type="dxa"/>
            </w:tcMar>
          </w:tcPr>
          <w:p>
            <w:pPr>
              <w:spacing w:after="160" w:line="240" w:lineRule="auto"/>
              <w:jc w:val="center"/>
              <w:rPr>
                <w:sz w:val="18"/>
                <w:szCs w:val="18"/>
                <w:lang w:val="en-US"/>
              </w:rPr>
            </w:pPr>
            <w:r>
              <w:rPr>
                <w:sz w:val="18"/>
                <w:szCs w:val="18"/>
              </w:rPr>
              <w:t>No</w:t>
            </w:r>
          </w:p>
        </w:tc>
        <w:tc>
          <w:tcPr>
            <w:tcW w:w="1246" w:type="dxa"/>
            <w:shd w:val="clear" w:color="auto" w:fill="auto"/>
            <w:tcMar>
              <w:top w:w="100" w:type="dxa"/>
              <w:left w:w="100" w:type="dxa"/>
              <w:bottom w:w="100" w:type="dxa"/>
              <w:right w:w="100" w:type="dxa"/>
            </w:tcMar>
          </w:tcPr>
          <w:p>
            <w:pPr>
              <w:spacing w:after="160" w:line="240" w:lineRule="auto"/>
              <w:jc w:val="center"/>
              <w:rPr>
                <w:sz w:val="18"/>
                <w:szCs w:val="18"/>
                <w:lang w:val="en-US"/>
              </w:rPr>
            </w:pPr>
            <w:r>
              <w:rPr>
                <w:sz w:val="18"/>
                <w:szCs w:val="18"/>
              </w:rPr>
              <w:t>No</w:t>
            </w:r>
          </w:p>
        </w:tc>
        <w:tc>
          <w:tcPr>
            <w:tcW w:w="1266" w:type="dxa"/>
            <w:shd w:val="clear" w:color="auto" w:fill="auto"/>
            <w:tcMar>
              <w:top w:w="100" w:type="dxa"/>
              <w:left w:w="100" w:type="dxa"/>
              <w:bottom w:w="100" w:type="dxa"/>
              <w:right w:w="100" w:type="dxa"/>
            </w:tcMar>
          </w:tcPr>
          <w:p>
            <w:pPr>
              <w:spacing w:after="160" w:line="240" w:lineRule="auto"/>
              <w:jc w:val="center"/>
              <w:rPr>
                <w:sz w:val="18"/>
                <w:szCs w:val="18"/>
                <w:lang w:val="en-US"/>
              </w:rPr>
            </w:pPr>
            <w:r>
              <w:rPr>
                <w:sz w:val="18"/>
                <w:szCs w:val="18"/>
              </w:rPr>
              <w:t>No</w:t>
            </w:r>
          </w:p>
        </w:tc>
        <w:tc>
          <w:tcPr>
            <w:tcW w:w="1335"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No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365" w:type="dxa"/>
            <w:shd w:val="clear" w:color="auto" w:fill="auto"/>
            <w:tcMar>
              <w:top w:w="100" w:type="dxa"/>
              <w:left w:w="100" w:type="dxa"/>
              <w:bottom w:w="100" w:type="dxa"/>
              <w:right w:w="100" w:type="dxa"/>
            </w:tcMar>
          </w:tcPr>
          <w:p>
            <w:pPr>
              <w:widowControl w:val="0"/>
              <w:spacing w:after="0" w:line="240" w:lineRule="auto"/>
              <w:jc w:val="left"/>
              <w:rPr>
                <w:b/>
                <w:sz w:val="18"/>
                <w:szCs w:val="18"/>
              </w:rPr>
            </w:pPr>
            <w:r>
              <w:rPr>
                <w:b/>
                <w:sz w:val="18"/>
                <w:szCs w:val="18"/>
              </w:rPr>
              <w:t>P-gp substrate</w:t>
            </w:r>
          </w:p>
        </w:tc>
        <w:tc>
          <w:tcPr>
            <w:tcW w:w="1189"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No</w:t>
            </w:r>
          </w:p>
        </w:tc>
        <w:tc>
          <w:tcPr>
            <w:tcW w:w="1353"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No</w:t>
            </w:r>
          </w:p>
        </w:tc>
        <w:tc>
          <w:tcPr>
            <w:tcW w:w="127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Yes</w:t>
            </w:r>
          </w:p>
        </w:tc>
        <w:tc>
          <w:tcPr>
            <w:tcW w:w="124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No</w:t>
            </w:r>
          </w:p>
        </w:tc>
        <w:tc>
          <w:tcPr>
            <w:tcW w:w="1266" w:type="dxa"/>
            <w:shd w:val="clear" w:color="auto" w:fill="auto"/>
            <w:tcMar>
              <w:top w:w="100" w:type="dxa"/>
              <w:left w:w="100" w:type="dxa"/>
              <w:bottom w:w="100" w:type="dxa"/>
              <w:right w:w="100" w:type="dxa"/>
            </w:tcMar>
          </w:tcPr>
          <w:p>
            <w:pPr>
              <w:spacing w:after="160" w:line="240" w:lineRule="auto"/>
              <w:jc w:val="center"/>
              <w:rPr>
                <w:sz w:val="18"/>
                <w:szCs w:val="18"/>
              </w:rPr>
            </w:pPr>
            <w:r>
              <w:rPr>
                <w:sz w:val="18"/>
                <w:szCs w:val="18"/>
              </w:rPr>
              <w:t>Yes</w:t>
            </w:r>
          </w:p>
        </w:tc>
        <w:tc>
          <w:tcPr>
            <w:tcW w:w="1335" w:type="dxa"/>
            <w:shd w:val="clear" w:color="auto" w:fill="auto"/>
            <w:tcMar>
              <w:top w:w="100" w:type="dxa"/>
              <w:left w:w="100" w:type="dxa"/>
              <w:bottom w:w="100" w:type="dxa"/>
              <w:right w:w="100" w:type="dxa"/>
            </w:tcMar>
          </w:tcPr>
          <w:p>
            <w:pPr>
              <w:widowControl w:val="0"/>
              <w:spacing w:after="0" w:line="240" w:lineRule="auto"/>
              <w:jc w:val="center"/>
              <w:rPr>
                <w:sz w:val="18"/>
                <w:szCs w:val="18"/>
              </w:rPr>
            </w:pPr>
            <w:r>
              <w:rPr>
                <w:sz w:val="18"/>
                <w:szCs w:val="18"/>
              </w:rPr>
              <w:t>Yes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365" w:type="dxa"/>
            <w:shd w:val="clear" w:color="auto" w:fill="auto"/>
            <w:tcMar>
              <w:top w:w="100" w:type="dxa"/>
              <w:left w:w="100" w:type="dxa"/>
              <w:bottom w:w="100" w:type="dxa"/>
              <w:right w:w="100" w:type="dxa"/>
            </w:tcMar>
          </w:tcPr>
          <w:p>
            <w:pPr>
              <w:widowControl w:val="0"/>
              <w:spacing w:after="0" w:line="240" w:lineRule="auto"/>
              <w:jc w:val="left"/>
              <w:rPr>
                <w:b/>
                <w:sz w:val="18"/>
                <w:szCs w:val="18"/>
                <w:lang w:val="en-US"/>
              </w:rPr>
            </w:pPr>
            <w:r>
              <w:rPr>
                <w:b/>
                <w:sz w:val="18"/>
                <w:szCs w:val="18"/>
              </w:rPr>
              <w:t>Lipinski</w:t>
            </w:r>
            <w:r>
              <w:rPr>
                <w:b/>
                <w:sz w:val="18"/>
                <w:szCs w:val="18"/>
                <w:lang w:val="en-US"/>
              </w:rPr>
              <w:t>’s RO5</w:t>
            </w:r>
            <w:r>
              <w:rPr>
                <w:b/>
                <w:sz w:val="18"/>
                <w:szCs w:val="18"/>
              </w:rPr>
              <w:t xml:space="preserve"> </w:t>
            </w:r>
            <w:r>
              <w:rPr>
                <w:b/>
                <w:sz w:val="18"/>
                <w:szCs w:val="18"/>
                <w:lang w:val="en-US"/>
              </w:rPr>
              <w:t>v</w:t>
            </w:r>
            <w:r>
              <w:rPr>
                <w:b/>
                <w:sz w:val="18"/>
                <w:szCs w:val="18"/>
              </w:rPr>
              <w:t>io</w:t>
            </w:r>
            <w:r>
              <w:rPr>
                <w:b/>
                <w:sz w:val="18"/>
                <w:szCs w:val="18"/>
                <w:lang w:val="en-US"/>
              </w:rPr>
              <w:t>.</w:t>
            </w:r>
          </w:p>
        </w:tc>
        <w:tc>
          <w:tcPr>
            <w:tcW w:w="1189" w:type="dxa"/>
            <w:shd w:val="clear" w:color="auto" w:fill="auto"/>
            <w:tcMar>
              <w:top w:w="100" w:type="dxa"/>
              <w:left w:w="100" w:type="dxa"/>
              <w:bottom w:w="100" w:type="dxa"/>
              <w:right w:w="100" w:type="dxa"/>
            </w:tcMar>
          </w:tcPr>
          <w:p>
            <w:pPr>
              <w:widowControl w:val="0"/>
              <w:spacing w:after="0" w:line="240" w:lineRule="auto"/>
              <w:jc w:val="center"/>
              <w:rPr>
                <w:sz w:val="18"/>
                <w:szCs w:val="18"/>
              </w:rPr>
            </w:pPr>
            <w:r>
              <w:rPr>
                <w:sz w:val="18"/>
                <w:szCs w:val="18"/>
                <w:lang w:val="en-US"/>
              </w:rPr>
              <w:t>0</w:t>
            </w:r>
          </w:p>
        </w:tc>
        <w:tc>
          <w:tcPr>
            <w:tcW w:w="1353"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0</w:t>
            </w:r>
          </w:p>
        </w:tc>
        <w:tc>
          <w:tcPr>
            <w:tcW w:w="1276" w:type="dxa"/>
            <w:shd w:val="clear" w:color="auto" w:fill="auto"/>
            <w:tcMar>
              <w:top w:w="100" w:type="dxa"/>
              <w:left w:w="100" w:type="dxa"/>
              <w:bottom w:w="100" w:type="dxa"/>
              <w:right w:w="100" w:type="dxa"/>
            </w:tcMar>
          </w:tcPr>
          <w:p>
            <w:pPr>
              <w:widowControl w:val="0"/>
              <w:spacing w:after="0" w:line="240" w:lineRule="auto"/>
              <w:jc w:val="center"/>
              <w:rPr>
                <w:sz w:val="18"/>
                <w:szCs w:val="18"/>
              </w:rPr>
            </w:pPr>
            <w:r>
              <w:rPr>
                <w:sz w:val="18"/>
                <w:szCs w:val="18"/>
                <w:lang w:val="en-US"/>
              </w:rPr>
              <w:t>0</w:t>
            </w:r>
          </w:p>
        </w:tc>
        <w:tc>
          <w:tcPr>
            <w:tcW w:w="1246" w:type="dxa"/>
            <w:shd w:val="clear" w:color="auto" w:fill="auto"/>
            <w:tcMar>
              <w:top w:w="100" w:type="dxa"/>
              <w:left w:w="100" w:type="dxa"/>
              <w:bottom w:w="100" w:type="dxa"/>
              <w:right w:w="100" w:type="dxa"/>
            </w:tcMar>
          </w:tcPr>
          <w:p>
            <w:pPr>
              <w:widowControl w:val="0"/>
              <w:spacing w:after="0" w:line="240" w:lineRule="auto"/>
              <w:jc w:val="center"/>
              <w:rPr>
                <w:sz w:val="18"/>
                <w:szCs w:val="18"/>
              </w:rPr>
            </w:pPr>
            <w:r>
              <w:rPr>
                <w:sz w:val="18"/>
                <w:szCs w:val="18"/>
                <w:lang w:val="en-US"/>
              </w:rPr>
              <w:t>0</w:t>
            </w:r>
          </w:p>
        </w:tc>
        <w:tc>
          <w:tcPr>
            <w:tcW w:w="1266"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0</w:t>
            </w:r>
          </w:p>
        </w:tc>
        <w:tc>
          <w:tcPr>
            <w:tcW w:w="1335" w:type="dxa"/>
            <w:shd w:val="clear" w:color="auto" w:fill="auto"/>
            <w:tcMar>
              <w:top w:w="100" w:type="dxa"/>
              <w:left w:w="100" w:type="dxa"/>
              <w:bottom w:w="100" w:type="dxa"/>
              <w:right w:w="100" w:type="dxa"/>
            </w:tcMar>
          </w:tcPr>
          <w:p>
            <w:pPr>
              <w:widowControl w:val="0"/>
              <w:spacing w:after="0" w:line="240" w:lineRule="auto"/>
              <w:jc w:val="center"/>
              <w:rPr>
                <w:sz w:val="18"/>
                <w:szCs w:val="18"/>
              </w:rPr>
            </w:pPr>
            <w:r>
              <w:rPr>
                <w:sz w:val="18"/>
                <w:szCs w:val="18"/>
                <w:lang w:val="en-US"/>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365" w:type="dxa"/>
            <w:shd w:val="clear" w:color="auto" w:fill="auto"/>
            <w:tcMar>
              <w:top w:w="100" w:type="dxa"/>
              <w:left w:w="100" w:type="dxa"/>
              <w:bottom w:w="100" w:type="dxa"/>
              <w:right w:w="100" w:type="dxa"/>
            </w:tcMar>
          </w:tcPr>
          <w:p>
            <w:pPr>
              <w:widowControl w:val="0"/>
              <w:spacing w:after="0" w:line="240" w:lineRule="auto"/>
              <w:jc w:val="left"/>
              <w:rPr>
                <w:b/>
                <w:sz w:val="18"/>
                <w:szCs w:val="18"/>
                <w:lang w:val="en-US"/>
              </w:rPr>
            </w:pPr>
            <w:r>
              <w:rPr>
                <w:b/>
                <w:sz w:val="18"/>
                <w:szCs w:val="18"/>
                <w:lang w:val="en-US"/>
              </w:rPr>
              <w:t>Ghose filter vio.</w:t>
            </w:r>
          </w:p>
        </w:tc>
        <w:tc>
          <w:tcPr>
            <w:tcW w:w="1189"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0</w:t>
            </w:r>
          </w:p>
        </w:tc>
        <w:tc>
          <w:tcPr>
            <w:tcW w:w="1353"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0</w:t>
            </w:r>
          </w:p>
        </w:tc>
        <w:tc>
          <w:tcPr>
            <w:tcW w:w="1276"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0</w:t>
            </w:r>
          </w:p>
        </w:tc>
        <w:tc>
          <w:tcPr>
            <w:tcW w:w="1246"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0</w:t>
            </w:r>
          </w:p>
        </w:tc>
        <w:tc>
          <w:tcPr>
            <w:tcW w:w="1266"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0</w:t>
            </w:r>
          </w:p>
        </w:tc>
        <w:tc>
          <w:tcPr>
            <w:tcW w:w="1335"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365" w:type="dxa"/>
            <w:shd w:val="clear" w:color="auto" w:fill="auto"/>
            <w:tcMar>
              <w:top w:w="100" w:type="dxa"/>
              <w:left w:w="100" w:type="dxa"/>
              <w:bottom w:w="100" w:type="dxa"/>
              <w:right w:w="100" w:type="dxa"/>
            </w:tcMar>
          </w:tcPr>
          <w:p>
            <w:pPr>
              <w:widowControl w:val="0"/>
              <w:spacing w:after="0" w:line="240" w:lineRule="auto"/>
              <w:jc w:val="left"/>
              <w:rPr>
                <w:b/>
                <w:sz w:val="18"/>
                <w:szCs w:val="18"/>
              </w:rPr>
            </w:pPr>
            <w:r>
              <w:rPr>
                <w:b/>
                <w:sz w:val="18"/>
                <w:szCs w:val="18"/>
              </w:rPr>
              <w:t>LD50 (mg/kg)</w:t>
            </w:r>
          </w:p>
        </w:tc>
        <w:tc>
          <w:tcPr>
            <w:tcW w:w="1189" w:type="dxa"/>
            <w:shd w:val="clear" w:color="auto" w:fill="auto"/>
            <w:tcMar>
              <w:top w:w="100" w:type="dxa"/>
              <w:left w:w="100" w:type="dxa"/>
              <w:bottom w:w="100" w:type="dxa"/>
              <w:right w:w="100" w:type="dxa"/>
            </w:tcMar>
          </w:tcPr>
          <w:p>
            <w:pPr>
              <w:spacing w:after="160" w:line="240" w:lineRule="auto"/>
              <w:jc w:val="center"/>
              <w:rPr>
                <w:sz w:val="18"/>
                <w:szCs w:val="18"/>
                <w:lang w:val="en-US"/>
              </w:rPr>
            </w:pPr>
            <w:r>
              <w:rPr>
                <w:sz w:val="18"/>
                <w:szCs w:val="18"/>
                <w:lang w:val="en-US"/>
              </w:rPr>
              <w:t>5000</w:t>
            </w:r>
          </w:p>
        </w:tc>
        <w:tc>
          <w:tcPr>
            <w:tcW w:w="1353"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5000</w:t>
            </w:r>
          </w:p>
        </w:tc>
        <w:tc>
          <w:tcPr>
            <w:tcW w:w="1276"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2500</w:t>
            </w:r>
          </w:p>
        </w:tc>
        <w:tc>
          <w:tcPr>
            <w:tcW w:w="1246"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120</w:t>
            </w:r>
          </w:p>
        </w:tc>
        <w:tc>
          <w:tcPr>
            <w:tcW w:w="1266"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5000</w:t>
            </w:r>
          </w:p>
        </w:tc>
        <w:tc>
          <w:tcPr>
            <w:tcW w:w="1335" w:type="dxa"/>
            <w:shd w:val="clear" w:color="auto" w:fill="auto"/>
            <w:tcMar>
              <w:top w:w="100" w:type="dxa"/>
              <w:left w:w="100" w:type="dxa"/>
              <w:bottom w:w="100" w:type="dxa"/>
              <w:right w:w="100" w:type="dxa"/>
            </w:tcMar>
          </w:tcPr>
          <w:p>
            <w:pPr>
              <w:widowControl w:val="0"/>
              <w:spacing w:after="0" w:line="240" w:lineRule="auto"/>
              <w:jc w:val="center"/>
              <w:rPr>
                <w:sz w:val="18"/>
                <w:szCs w:val="18"/>
                <w:lang w:val="en-US"/>
              </w:rPr>
            </w:pPr>
            <w:r>
              <w:rPr>
                <w:sz w:val="18"/>
                <w:szCs w:val="18"/>
                <w:lang w:val="en-US"/>
              </w:rPr>
              <w:t>3000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365" w:type="dxa"/>
          </w:tcPr>
          <w:p>
            <w:pPr>
              <w:widowControl w:val="0"/>
              <w:spacing w:after="0" w:line="240" w:lineRule="auto"/>
              <w:jc w:val="left"/>
              <w:rPr>
                <w:b/>
                <w:sz w:val="18"/>
                <w:szCs w:val="18"/>
              </w:rPr>
            </w:pPr>
            <w:r>
              <w:rPr>
                <w:b/>
                <w:sz w:val="18"/>
                <w:szCs w:val="18"/>
              </w:rPr>
              <w:t>Toxicity class</w:t>
            </w:r>
          </w:p>
        </w:tc>
        <w:tc>
          <w:tcPr>
            <w:tcW w:w="1189" w:type="dxa"/>
          </w:tcPr>
          <w:p>
            <w:pPr>
              <w:spacing w:after="160" w:line="240" w:lineRule="auto"/>
              <w:jc w:val="center"/>
              <w:rPr>
                <w:sz w:val="18"/>
                <w:szCs w:val="18"/>
                <w:lang w:val="en-US"/>
              </w:rPr>
            </w:pPr>
            <w:r>
              <w:rPr>
                <w:sz w:val="18"/>
                <w:szCs w:val="18"/>
                <w:lang w:val="en-US"/>
              </w:rPr>
              <w:t>5</w:t>
            </w:r>
          </w:p>
        </w:tc>
        <w:tc>
          <w:tcPr>
            <w:tcW w:w="1353" w:type="dxa"/>
          </w:tcPr>
          <w:p>
            <w:pPr>
              <w:widowControl w:val="0"/>
              <w:spacing w:after="0" w:line="240" w:lineRule="auto"/>
              <w:jc w:val="center"/>
              <w:rPr>
                <w:sz w:val="18"/>
                <w:szCs w:val="18"/>
                <w:lang w:val="en-US"/>
              </w:rPr>
            </w:pPr>
            <w:r>
              <w:rPr>
                <w:sz w:val="18"/>
                <w:szCs w:val="18"/>
                <w:lang w:val="en-US"/>
              </w:rPr>
              <w:t>5</w:t>
            </w:r>
          </w:p>
        </w:tc>
        <w:tc>
          <w:tcPr>
            <w:tcW w:w="1276" w:type="dxa"/>
          </w:tcPr>
          <w:p>
            <w:pPr>
              <w:widowControl w:val="0"/>
              <w:spacing w:after="0" w:line="240" w:lineRule="auto"/>
              <w:jc w:val="center"/>
              <w:rPr>
                <w:sz w:val="18"/>
                <w:szCs w:val="18"/>
                <w:lang w:val="en-US"/>
              </w:rPr>
            </w:pPr>
            <w:r>
              <w:rPr>
                <w:sz w:val="18"/>
                <w:szCs w:val="18"/>
                <w:lang w:val="en-US"/>
              </w:rPr>
              <w:t>5</w:t>
            </w:r>
          </w:p>
        </w:tc>
        <w:tc>
          <w:tcPr>
            <w:tcW w:w="1246" w:type="dxa"/>
          </w:tcPr>
          <w:p>
            <w:pPr>
              <w:widowControl w:val="0"/>
              <w:spacing w:after="0" w:line="240" w:lineRule="auto"/>
              <w:jc w:val="center"/>
              <w:rPr>
                <w:sz w:val="18"/>
                <w:szCs w:val="18"/>
                <w:lang w:val="en-US"/>
              </w:rPr>
            </w:pPr>
            <w:r>
              <w:rPr>
                <w:sz w:val="18"/>
                <w:szCs w:val="18"/>
                <w:lang w:val="en-US"/>
              </w:rPr>
              <w:t>3</w:t>
            </w:r>
          </w:p>
        </w:tc>
        <w:tc>
          <w:tcPr>
            <w:tcW w:w="1266" w:type="dxa"/>
          </w:tcPr>
          <w:p>
            <w:pPr>
              <w:widowControl w:val="0"/>
              <w:spacing w:after="0" w:line="240" w:lineRule="auto"/>
              <w:jc w:val="center"/>
              <w:rPr>
                <w:sz w:val="18"/>
                <w:szCs w:val="18"/>
                <w:lang w:val="en-US"/>
              </w:rPr>
            </w:pPr>
            <w:r>
              <w:rPr>
                <w:sz w:val="18"/>
                <w:szCs w:val="18"/>
                <w:lang w:val="en-US"/>
              </w:rPr>
              <w:t>5</w:t>
            </w:r>
          </w:p>
        </w:tc>
        <w:tc>
          <w:tcPr>
            <w:tcW w:w="1335" w:type="dxa"/>
          </w:tcPr>
          <w:p>
            <w:pPr>
              <w:widowControl w:val="0"/>
              <w:spacing w:after="0" w:line="240" w:lineRule="auto"/>
              <w:jc w:val="center"/>
              <w:rPr>
                <w:sz w:val="18"/>
                <w:szCs w:val="18"/>
                <w:lang w:val="en-US"/>
              </w:rPr>
            </w:pPr>
            <w:r>
              <w:rPr>
                <w:sz w:val="18"/>
                <w:szCs w:val="18"/>
                <w:lang w:val="en-US"/>
              </w:rPr>
              <w:t>5</w:t>
            </w:r>
          </w:p>
        </w:tc>
      </w:tr>
    </w:tbl>
    <w:p>
      <w:pPr>
        <w:spacing w:before="120"/>
        <w:rPr>
          <w:sz w:val="18"/>
          <w:szCs w:val="18"/>
          <w:lang w:val="en-US"/>
        </w:rPr>
      </w:pPr>
      <w:r>
        <w:rPr>
          <w:sz w:val="18"/>
          <w:szCs w:val="18"/>
          <w:lang w:val="en-US"/>
        </w:rPr>
        <w:t>MW: molecular weight; TPSA: topological polar surface area; MLogP: lipophilicity; LogS (ESOL): water solubility; ESOL class: water solubility class; GI absorption: gastrointestinal absorption; bioavailability score: Abbott bioavailability score; BBB permeant: blood-brain barrier permeability; P-gp substrate: interaction with P-glycoprotein; Lipinski Vio: number of violations of Lipinski’s rule of Gve; Ghose Vio: number of violations of Ghose’s rule; LD50 (mg/kg):lethal dose 50; toxicity class: class based on LD50 value.</w:t>
      </w:r>
    </w:p>
    <w:p>
      <w:pPr>
        <w:rPr>
          <w:lang w:val="en-US"/>
        </w:rPr>
      </w:pPr>
    </w:p>
    <w:p>
      <w:pPr>
        <w:jc w:val="center"/>
        <w:rPr>
          <w:lang w:val="en-US"/>
        </w:rPr>
      </w:pPr>
      <w:r>
        <w:rPr>
          <w:lang w:val="en-US"/>
        </w:rPr>
        <w:drawing>
          <wp:inline distT="0" distB="0" distL="114300" distR="114300">
            <wp:extent cx="5715000" cy="3810000"/>
            <wp:effectExtent l="0" t="0" r="0" b="0"/>
            <wp:docPr id="6" name="Picture 6"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3"/>
                    <pic:cNvPicPr>
                      <a:picLocks noChangeAspect="1"/>
                    </pic:cNvPicPr>
                  </pic:nvPicPr>
                  <pic:blipFill>
                    <a:blip r:embed="rId14"/>
                    <a:stretch>
                      <a:fillRect/>
                    </a:stretch>
                  </pic:blipFill>
                  <pic:spPr>
                    <a:xfrm>
                      <a:off x="0" y="0"/>
                      <a:ext cx="5715000" cy="3810000"/>
                    </a:xfrm>
                    <a:prstGeom prst="rect">
                      <a:avLst/>
                    </a:prstGeom>
                  </pic:spPr>
                </pic:pic>
              </a:graphicData>
            </a:graphic>
          </wp:inline>
        </w:drawing>
      </w:r>
    </w:p>
    <w:p>
      <w:pPr>
        <w:spacing w:after="360"/>
        <w:jc w:val="center"/>
      </w:pPr>
      <w:r>
        <w:rPr>
          <w:b/>
          <w:sz w:val="20"/>
          <w:szCs w:val="20"/>
        </w:rPr>
        <w:t xml:space="preserve">Figure </w:t>
      </w:r>
      <w:r>
        <w:rPr>
          <w:b/>
          <w:sz w:val="20"/>
          <w:szCs w:val="20"/>
          <w:lang w:val="en-US"/>
        </w:rPr>
        <w:t>3</w:t>
      </w:r>
      <w:r>
        <w:rPr>
          <w:b/>
          <w:sz w:val="20"/>
          <w:szCs w:val="20"/>
        </w:rPr>
        <w:t>:</w:t>
      </w:r>
      <w:r>
        <w:rPr>
          <w:sz w:val="20"/>
          <w:szCs w:val="20"/>
        </w:rPr>
        <w:t xml:space="preserve"> The bioavailability radar</w:t>
      </w:r>
      <w:r>
        <w:rPr>
          <w:sz w:val="20"/>
          <w:szCs w:val="20"/>
          <w:lang w:val="en-US"/>
        </w:rPr>
        <w:t>s</w:t>
      </w:r>
      <w:r>
        <w:rPr>
          <w:sz w:val="20"/>
          <w:szCs w:val="20"/>
        </w:rPr>
        <w:t xml:space="preserve"> of </w:t>
      </w:r>
      <w:r>
        <w:rPr>
          <w:sz w:val="20"/>
          <w:szCs w:val="20"/>
          <w:lang w:val="en-US"/>
        </w:rPr>
        <w:t>(A) cycloartomunin, (B) dihydrocycloartomunin, (C) cycloartobiloxanthone, (D) artomunoxanthentrione, (E) cycloartomunoxanthone, and (F) nirmatrelvir</w:t>
      </w:r>
      <w:r>
        <w:rPr>
          <w:sz w:val="20"/>
          <w:szCs w:val="20"/>
        </w:rPr>
        <w:t xml:space="preserve"> retrieved from SwissADME. The colored zone is the suitable physicochemical space for oral bioavailability. LIPO (Lipophilicity): −0.7 &lt; XLOGP3 &lt; +5.0; SIZE: 150g/mol &lt; MV &lt; 500g/mol; POLAR (Polarity): 20Å² &lt; TPSA &lt; 130Å²; INSOLU (Insolubility): −6 &lt; Log S (ESOL) &lt; 0; INSATU (Insaturation): 0.25 &lt; Fraction Csp3 &lt; 1; FLEX (Flexibility): 0 &lt; Num. rotatable bonds &lt; 9.</w:t>
      </w:r>
    </w:p>
    <w:p>
      <w:pPr>
        <w:pStyle w:val="4"/>
      </w:pPr>
      <w:bookmarkStart w:id="13" w:name="_mqiebwg54ivm" w:colFirst="0" w:colLast="0"/>
      <w:bookmarkEnd w:id="13"/>
      <w:bookmarkStart w:id="14" w:name="_wonk002mc9te" w:colFirst="0" w:colLast="0"/>
      <w:bookmarkEnd w:id="14"/>
      <w:r>
        <w:t>4. Conclusion</w:t>
      </w:r>
    </w:p>
    <w:p>
      <w:pPr>
        <w:rPr>
          <w:lang w:val="en-US"/>
        </w:rPr>
      </w:pPr>
      <w:r>
        <w:t xml:space="preserve">The goal of this study was to look at compelling compounds from </w:t>
      </w:r>
      <w:r>
        <w:rPr>
          <w:lang w:val="en-US"/>
        </w:rPr>
        <w:t>breadfruit (</w:t>
      </w:r>
      <w:r>
        <w:rPr>
          <w:i/>
          <w:iCs/>
        </w:rPr>
        <w:t>Artocarpus altilis</w:t>
      </w:r>
      <w:r>
        <w:rPr>
          <w:i/>
          <w:iCs/>
          <w:lang w:val="en-US"/>
        </w:rPr>
        <w:t>)</w:t>
      </w:r>
      <w:r>
        <w:t xml:space="preserve"> in order to </w:t>
      </w:r>
      <w:r>
        <w:rPr>
          <w:lang w:val="en-US"/>
        </w:rPr>
        <w:t>trace</w:t>
      </w:r>
      <w:r>
        <w:t xml:space="preserve"> possible inhibitors of the </w:t>
      </w:r>
      <w:r>
        <w:rPr>
          <w:lang w:val="en-US"/>
        </w:rPr>
        <w:t>M</w:t>
      </w:r>
      <w:r>
        <w:rPr>
          <w:vertAlign w:val="superscript"/>
          <w:lang w:val="en-US"/>
        </w:rPr>
        <w:t>pro</w:t>
      </w:r>
      <w:r>
        <w:rPr>
          <w:lang w:val="en-US"/>
        </w:rPr>
        <w:t xml:space="preserve"> enzyme of </w:t>
      </w:r>
      <w:r>
        <w:t xml:space="preserve">SARS-CoV-2. </w:t>
      </w:r>
      <w:r>
        <w:rPr>
          <w:lang w:val="en-US" w:eastAsia="zh-CN"/>
        </w:rPr>
        <w:t>Artomunoxanthentrione and c</w:t>
      </w:r>
      <w:r>
        <w:rPr>
          <w:lang w:val="en-US"/>
        </w:rPr>
        <w:t>ycloartomunoxanthone</w:t>
      </w:r>
      <w:r>
        <w:t xml:space="preserve"> </w:t>
      </w:r>
      <w:r>
        <w:rPr>
          <w:lang w:val="en-US"/>
        </w:rPr>
        <w:t>were found to have affinities above and equal to the standard inhibitor</w:t>
      </w:r>
      <w:r>
        <w:t>.</w:t>
      </w:r>
      <w:r>
        <w:rPr>
          <w:lang w:val="en-US"/>
        </w:rPr>
        <w:t xml:space="preserve"> </w:t>
      </w:r>
      <w:r>
        <w:rPr>
          <w:lang w:val="en-US" w:eastAsia="zh-CN"/>
        </w:rPr>
        <w:t>Artomunoxanthentrione</w:t>
      </w:r>
      <w:r>
        <w:t xml:space="preserve"> had the highest binding affinity when docked with the </w:t>
      </w:r>
      <w:r>
        <w:rPr>
          <w:lang w:val="en-US"/>
        </w:rPr>
        <w:t>target</w:t>
      </w:r>
      <w:r>
        <w:t>.</w:t>
      </w:r>
      <w:r>
        <w:rPr>
          <w:lang w:val="en-US"/>
        </w:rPr>
        <w:t xml:space="preserve"> Moreover, cycloartomunin, dihydrocycloartomunin, and cycloartobiloxanthone also displayed good interactions with the target. </w:t>
      </w:r>
      <w:r>
        <w:t xml:space="preserve">This study, however, solely investigates the in silico characteristics and profiles of the phytochemicals from </w:t>
      </w:r>
      <w:r>
        <w:rPr>
          <w:i/>
          <w:iCs/>
        </w:rPr>
        <w:t>Artocarpus altilis</w:t>
      </w:r>
      <w:r>
        <w:t>.</w:t>
      </w:r>
      <w:r>
        <w:rPr>
          <w:lang w:val="en-US"/>
        </w:rPr>
        <w:t xml:space="preserve"> Additional </w:t>
      </w:r>
      <w:r>
        <w:t>validat</w:t>
      </w:r>
      <w:r>
        <w:rPr>
          <w:lang w:val="en-US"/>
        </w:rPr>
        <w:t>ions are demanded to confirm</w:t>
      </w:r>
      <w:r>
        <w:t xml:space="preserve"> </w:t>
      </w:r>
      <w:r>
        <w:rPr>
          <w:lang w:val="en-US"/>
        </w:rPr>
        <w:t>the</w:t>
      </w:r>
      <w:r>
        <w:t xml:space="preserve"> eff</w:t>
      </w:r>
      <w:r>
        <w:rPr>
          <w:lang w:val="en-US"/>
        </w:rPr>
        <w:t>icacy and potentiality of the test compounds</w:t>
      </w:r>
      <w:r>
        <w:t xml:space="preserve"> as</w:t>
      </w:r>
      <w:r>
        <w:rPr>
          <w:lang w:val="en-US"/>
        </w:rPr>
        <w:t xml:space="preserve"> potential</w:t>
      </w:r>
      <w:r>
        <w:t xml:space="preserve"> inhibitor</w:t>
      </w:r>
      <w:r>
        <w:rPr>
          <w:lang w:val="en-US"/>
        </w:rPr>
        <w:t>s</w:t>
      </w:r>
      <w:r>
        <w:t xml:space="preserve"> of </w:t>
      </w:r>
      <w:r>
        <w:rPr>
          <w:lang w:val="en-US"/>
        </w:rPr>
        <w:t xml:space="preserve">the </w:t>
      </w:r>
      <w:r>
        <w:t>SARS-CoV-2</w:t>
      </w:r>
      <w:r>
        <w:rPr>
          <w:lang w:val="en-US"/>
        </w:rPr>
        <w:t xml:space="preserve"> target enzyme</w:t>
      </w:r>
      <w:r>
        <w:t>. As a result of this, our study</w:t>
      </w:r>
      <w:r>
        <w:rPr>
          <w:lang w:val="en-US"/>
        </w:rPr>
        <w:t>’</w:t>
      </w:r>
      <w:r>
        <w:t xml:space="preserve">s findings suggest </w:t>
      </w:r>
      <w:r>
        <w:rPr>
          <w:lang w:val="en-US"/>
        </w:rPr>
        <w:t>cycloartomunin, dihydrocycloartomunin, cycloartobiloxanthone, artomunoxanthentrione, and cycloartomunoxanthone</w:t>
      </w:r>
      <w:r>
        <w:t xml:space="preserve"> as pr</w:t>
      </w:r>
      <w:r>
        <w:rPr>
          <w:lang w:val="en-US"/>
        </w:rPr>
        <w:t>omising</w:t>
      </w:r>
      <w:r>
        <w:t xml:space="preserve"> candidate</w:t>
      </w:r>
      <w:r>
        <w:rPr>
          <w:lang w:val="en-US"/>
        </w:rPr>
        <w:t>s</w:t>
      </w:r>
      <w:r>
        <w:t xml:space="preserve"> against the</w:t>
      </w:r>
      <w:r>
        <w:rPr>
          <w:lang w:val="en-US"/>
        </w:rPr>
        <w:t xml:space="preserve"> M</w:t>
      </w:r>
      <w:r>
        <w:rPr>
          <w:vertAlign w:val="superscript"/>
          <w:lang w:val="en-US"/>
        </w:rPr>
        <w:t>pro</w:t>
      </w:r>
      <w:r>
        <w:rPr>
          <w:lang w:val="en-US"/>
        </w:rPr>
        <w:t xml:space="preserve"> enzyme of</w:t>
      </w:r>
      <w:r>
        <w:t xml:space="preserve"> SARS-CoV-2.</w:t>
      </w:r>
    </w:p>
    <w:p>
      <w:pPr>
        <w:rPr>
          <w:lang w:val="en-US"/>
        </w:rPr>
      </w:pPr>
    </w:p>
    <w:p>
      <w:r>
        <w:pict>
          <v:rect id="_x0000_i1025" o:spt="1" style="height:0.05pt;width:451.3pt;" fillcolor="#A0A0A0" filled="t" stroked="f" coordsize="21600,21600" o:hr="t" o:hrstd="t" o:hralign="center">
            <v:path/>
            <v:fill on="t" focussize="0,0"/>
            <v:stroke on="f"/>
            <v:imagedata o:title=""/>
            <o:lock v:ext="edit"/>
            <w10:wrap type="none"/>
            <w10:anchorlock/>
          </v:rect>
        </w:pict>
      </w:r>
    </w:p>
    <w:p>
      <w:pPr>
        <w:jc w:val="center"/>
        <w:rPr>
          <w:i/>
          <w:iCs/>
          <w:lang w:val="en-US"/>
        </w:rPr>
      </w:pPr>
      <w:bookmarkStart w:id="15" w:name="_407pvv8ypdu" w:colFirst="0" w:colLast="0"/>
      <w:bookmarkEnd w:id="15"/>
      <w:r>
        <w:rPr>
          <w:i/>
          <w:iCs/>
          <w:lang w:val="en-US"/>
        </w:rPr>
        <w:t>[Continued in the next page.]</w:t>
      </w:r>
    </w:p>
    <w:p>
      <w:r>
        <w:br w:type="page"/>
      </w:r>
    </w:p>
    <w:p>
      <w:pPr>
        <w:pStyle w:val="4"/>
      </w:pPr>
      <w:r>
        <w:t>Conflict</w:t>
      </w:r>
      <w:r>
        <w:rPr>
          <w:lang w:val="en-US"/>
        </w:rPr>
        <w:t>s</w:t>
      </w:r>
      <w:r>
        <w:t xml:space="preserve"> of Interest</w:t>
      </w:r>
    </w:p>
    <w:p>
      <w:r>
        <w:t>The authors declare no conflict</w:t>
      </w:r>
      <w:r>
        <w:rPr>
          <w:lang w:val="en-US"/>
        </w:rPr>
        <w:t>s</w:t>
      </w:r>
      <w:r>
        <w:t xml:space="preserve"> of interest.</w:t>
      </w:r>
    </w:p>
    <w:p>
      <w:pPr>
        <w:pStyle w:val="4"/>
        <w:rPr>
          <w:lang w:val="en-US"/>
        </w:rPr>
      </w:pPr>
      <w:bookmarkStart w:id="16" w:name="_987829r176qq" w:colFirst="0" w:colLast="0"/>
      <w:bookmarkEnd w:id="16"/>
      <w:r>
        <w:t>Acknowledgment</w:t>
      </w:r>
      <w:r>
        <w:rPr>
          <w:lang w:val="en-US"/>
        </w:rPr>
        <w:t>s</w:t>
      </w:r>
    </w:p>
    <w:p>
      <w:pPr>
        <w:rPr>
          <w:lang w:val="en-US"/>
        </w:rPr>
      </w:pPr>
      <w:r>
        <w:t>Earnest gratitude to Dr. Sukalyan Kumar Kundu, Professor of Pharmacy for his role in providing the facilities and his contribution to conducting this study successfully.</w:t>
      </w:r>
    </w:p>
    <w:p>
      <w:pPr>
        <w:pStyle w:val="4"/>
      </w:pPr>
      <w:bookmarkStart w:id="17" w:name="_30tfu4ofv29s" w:colFirst="0" w:colLast="0"/>
      <w:bookmarkEnd w:id="17"/>
      <w:r>
        <w:t>Attachments</w:t>
      </w:r>
    </w:p>
    <w:p>
      <w:pPr>
        <w:spacing w:after="0"/>
        <w:jc w:val="left"/>
        <w:rPr>
          <w:lang w:val="en-US"/>
        </w:rPr>
      </w:pPr>
      <w:r>
        <w:rPr>
          <w:b/>
        </w:rPr>
        <w:t xml:space="preserve">Figures: </w:t>
      </w:r>
      <w:r>
        <w:rPr>
          <w:lang w:val="en-US"/>
        </w:rPr>
        <w:t>Go to</w:t>
      </w:r>
      <w:r>
        <w:t xml:space="preserve"> the following link</w:t>
      </w:r>
      <w:r>
        <w:rPr>
          <w:lang w:val="en-US"/>
        </w:rPr>
        <w:t xml:space="preserve"> to download high resolutions of the figures: </w:t>
      </w:r>
    </w:p>
    <w:p>
      <w:pPr>
        <w:spacing w:after="0"/>
        <w:rPr>
          <w:lang w:val="en-US"/>
        </w:rPr>
      </w:pPr>
      <w:r>
        <w:fldChar w:fldCharType="begin"/>
      </w:r>
      <w:r>
        <w:instrText xml:space="preserve"> HYPERLINK "https://drive.google.com/drive/folders/1qZN5BscDg2dfCHeBAWseGvOnv0FQsWYG?usp=sharing" </w:instrText>
      </w:r>
      <w:r>
        <w:fldChar w:fldCharType="separate"/>
      </w:r>
      <w:r>
        <w:rPr>
          <w:rStyle w:val="15"/>
          <w:lang w:val="en-US"/>
        </w:rPr>
        <w:t>https://drive.google.com/drive/folders/1qZN5BscDg2dfCHeBAWseGvOnv0FQsWYG?usp=sharing</w:t>
      </w:r>
      <w:r>
        <w:rPr>
          <w:rStyle w:val="15"/>
          <w:lang w:val="en-US"/>
        </w:rPr>
        <w:fldChar w:fldCharType="end"/>
      </w:r>
      <w:r>
        <w:rPr>
          <w:lang w:val="en-US"/>
        </w:rPr>
        <w:t xml:space="preserve"> </w:t>
      </w:r>
    </w:p>
    <w:p>
      <w:pPr>
        <w:jc w:val="center"/>
      </w:pPr>
      <w:r>
        <w:pict>
          <v:rect id="_x0000_i1026" o:spt="1" style="height:0.05pt;width:451.3pt;" fillcolor="#A0A0A0" filled="t" stroked="f" coordsize="21600,21600" o:hr="t" o:hrstd="t" o:hralign="center">
            <v:path/>
            <v:fill on="t" focussize="0,0"/>
            <v:stroke on="f"/>
            <v:imagedata o:title=""/>
            <o:lock v:ext="edit"/>
            <w10:wrap type="none"/>
            <w10:anchorlock/>
          </v:rect>
        </w:pict>
      </w:r>
    </w:p>
    <w:p>
      <w:pPr>
        <w:pStyle w:val="4"/>
        <w:jc w:val="left"/>
        <w:rPr>
          <w:rFonts w:eastAsia="serif"/>
          <w:color w:val="000000"/>
          <w:sz w:val="18"/>
          <w:szCs w:val="18"/>
        </w:rPr>
      </w:pPr>
      <w:bookmarkStart w:id="18" w:name="_or9dpeghd2tn" w:colFirst="0" w:colLast="0"/>
      <w:bookmarkEnd w:id="18"/>
      <w:r>
        <w:t>References</w:t>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bookmarkStart w:id="19" w:name="ref1"/>
      <w:bookmarkEnd w:id="19"/>
      <w:r>
        <w:rPr>
          <w:rFonts w:hint="default" w:ascii="Times New Roman" w:hAnsi="Times New Roman" w:eastAsia="SimSun" w:cs="Times New Roman"/>
          <w:kern w:val="0"/>
          <w:sz w:val="20"/>
          <w:szCs w:val="20"/>
          <w:lang w:val="en-US" w:eastAsia="zh-CN" w:bidi="ar"/>
        </w:rPr>
        <w:t xml:space="preserve">Banerjee, P., Eckert, A. O., Schrey, A. K., &amp; Preissner, R. (2018). ProTox-II: A webserver for the prediction of toxicity of chemicals. </w:t>
      </w:r>
      <w:r>
        <w:rPr>
          <w:rFonts w:hint="default" w:ascii="Times New Roman" w:hAnsi="Times New Roman" w:eastAsia="SimSun" w:cs="Times New Roman"/>
          <w:i/>
          <w:iCs/>
          <w:kern w:val="0"/>
          <w:sz w:val="20"/>
          <w:szCs w:val="20"/>
          <w:lang w:val="en-US" w:eastAsia="zh-CN" w:bidi="ar"/>
        </w:rPr>
        <w:t>Nucleic Acids Research</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46</w:t>
      </w:r>
      <w:r>
        <w:rPr>
          <w:rFonts w:hint="default" w:ascii="Times New Roman" w:hAnsi="Times New Roman" w:eastAsia="SimSun" w:cs="Times New Roman"/>
          <w:kern w:val="0"/>
          <w:sz w:val="20"/>
          <w:szCs w:val="20"/>
          <w:lang w:val="en-US" w:eastAsia="zh-CN" w:bidi="ar"/>
        </w:rPr>
        <w:t xml:space="preserve">(W1), Article W1.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"https://doi.org/10.1093/nar/gky318"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https://doi.org/10.1093/nar/gky318</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Daina, A., Michielin, O., &amp; Zoete, V. (2017). SwissADME: A free web tool to evaluate pharmacokinetics, drug-likeness and medicinal chemistry friendliness of small molecules. </w:t>
      </w:r>
      <w:r>
        <w:rPr>
          <w:rFonts w:hint="default" w:ascii="Times New Roman" w:hAnsi="Times New Roman" w:eastAsia="SimSun" w:cs="Times New Roman"/>
          <w:i/>
          <w:iCs/>
          <w:kern w:val="0"/>
          <w:sz w:val="20"/>
          <w:szCs w:val="20"/>
          <w:lang w:val="en-US" w:eastAsia="zh-CN" w:bidi="ar"/>
        </w:rPr>
        <w:t>Scientific Reports</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7</w:t>
      </w:r>
      <w:r>
        <w:rPr>
          <w:rFonts w:hint="default" w:ascii="Times New Roman" w:hAnsi="Times New Roman" w:eastAsia="SimSun" w:cs="Times New Roman"/>
          <w:kern w:val="0"/>
          <w:sz w:val="20"/>
          <w:szCs w:val="20"/>
          <w:lang w:val="en-US" w:eastAsia="zh-CN" w:bidi="ar"/>
        </w:rPr>
        <w:t xml:space="preserve">(1), Article 1.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"https://doi.org/10.1038/srep42717"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https://doi.org/10.1038/srep42717</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Dejnirattisai, W., Huo, J., Zhou, D., Zahradník, J., Supasa, P., Liu, C., Duyvesteyn, H. M. E., Ginn, H. M., Mentzer, A. J., Tuekprakhon, A., Nutalai, R., Wang, B., Dijokaite, A., Khan, S., Avinoam, O., Bahar, M., Skelly, D., Adele, S., Johnson, S. A., … Young, P. (2022). SARS-CoV-2 Omicron-B.1.1.529 leads to widespread escape from neutralizing antibody responses. </w:t>
      </w:r>
      <w:r>
        <w:rPr>
          <w:rFonts w:hint="default" w:ascii="Times New Roman" w:hAnsi="Times New Roman" w:eastAsia="SimSun" w:cs="Times New Roman"/>
          <w:i/>
          <w:iCs/>
          <w:kern w:val="0"/>
          <w:sz w:val="20"/>
          <w:szCs w:val="20"/>
          <w:lang w:val="en-US" w:eastAsia="zh-CN" w:bidi="ar"/>
        </w:rPr>
        <w:t>Cell</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185</w:t>
      </w:r>
      <w:r>
        <w:rPr>
          <w:rFonts w:hint="default" w:ascii="Times New Roman" w:hAnsi="Times New Roman" w:eastAsia="SimSun" w:cs="Times New Roman"/>
          <w:kern w:val="0"/>
          <w:sz w:val="20"/>
          <w:szCs w:val="20"/>
          <w:lang w:val="en-US" w:eastAsia="zh-CN" w:bidi="ar"/>
        </w:rPr>
        <w:t xml:space="preserve">(3), Article 3.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"https://doi.org/10.1016/j.cell.2021.12.046"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https://doi.org/10.1016/j.cell.2021.12.046</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Deng, Q., Rasool, R. ur, Russell, R. M., Natesan, R., &amp; Asangani, I. A. (2021). Targeting androgen regulation of TMPRSS2 and ACE2 as a therapeutic strategy to combat COVID-19. </w:t>
      </w:r>
      <w:r>
        <w:rPr>
          <w:rFonts w:hint="default" w:ascii="Times New Roman" w:hAnsi="Times New Roman" w:eastAsia="SimSun" w:cs="Times New Roman"/>
          <w:i/>
          <w:iCs/>
          <w:kern w:val="0"/>
          <w:sz w:val="20"/>
          <w:szCs w:val="20"/>
          <w:lang w:val="en-US" w:eastAsia="zh-CN" w:bidi="ar"/>
        </w:rPr>
        <w:t>IScience</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24</w:t>
      </w:r>
      <w:r>
        <w:rPr>
          <w:rFonts w:hint="default" w:ascii="Times New Roman" w:hAnsi="Times New Roman" w:eastAsia="SimSun" w:cs="Times New Roman"/>
          <w:kern w:val="0"/>
          <w:sz w:val="20"/>
          <w:szCs w:val="20"/>
          <w:lang w:val="en-US" w:eastAsia="zh-CN" w:bidi="ar"/>
        </w:rPr>
        <w:t xml:space="preserve">(3), Article 3.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"https://doi.org/10.1016/j.isci.2021.102254"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https://doi.org/10.1016/j.isci.2021.102254</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Dharmashekara, C., Pradeep, S., Prasad, S. K., Jain, A. S., Syed, A., Prasad, K. S., Patil, S. S., Beelagi, M. S., Srinivasa, C., &amp; Shivamallu, C. (2021). Virtual screening of potential phyto-candidates as therapeutic leads against SARS-CoV-2 infection. </w:t>
      </w:r>
      <w:r>
        <w:rPr>
          <w:rFonts w:hint="default" w:ascii="Times New Roman" w:hAnsi="Times New Roman" w:eastAsia="SimSun" w:cs="Times New Roman"/>
          <w:i/>
          <w:iCs/>
          <w:kern w:val="0"/>
          <w:sz w:val="20"/>
          <w:szCs w:val="20"/>
          <w:lang w:val="en-US" w:eastAsia="zh-CN" w:bidi="ar"/>
        </w:rPr>
        <w:t>Environmental Challenges</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4</w:t>
      </w:r>
      <w:r>
        <w:rPr>
          <w:rFonts w:hint="default" w:ascii="Times New Roman" w:hAnsi="Times New Roman" w:eastAsia="SimSun" w:cs="Times New Roman"/>
          <w:kern w:val="0"/>
          <w:sz w:val="20"/>
          <w:szCs w:val="20"/>
          <w:lang w:val="en-US" w:eastAsia="zh-CN" w:bidi="ar"/>
        </w:rPr>
        <w:t xml:space="preserve">, 100136.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"https://doi.org/10.1016/j.envc.2021.100136"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https://doi.org/10.1016/j.envc.2021.100136</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Ghose, A. K., Viswanadhan, V. N., &amp; Wendoloski, J. J. (1999). A Knowledge-Based Approach in Designing Combinatorial or Medicinal Chemistry Libraries for Drug Discovery. 1. A Qualitative and Quantitative Characterization of Known Drug Databases. </w:t>
      </w:r>
      <w:r>
        <w:rPr>
          <w:rFonts w:hint="default" w:ascii="Times New Roman" w:hAnsi="Times New Roman" w:eastAsia="SimSun" w:cs="Times New Roman"/>
          <w:i/>
          <w:iCs/>
          <w:kern w:val="0"/>
          <w:sz w:val="20"/>
          <w:szCs w:val="20"/>
          <w:lang w:val="en-US" w:eastAsia="zh-CN" w:bidi="ar"/>
        </w:rPr>
        <w:t>Journal of Combinatorial Chemistry</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1</w:t>
      </w:r>
      <w:r>
        <w:rPr>
          <w:rFonts w:hint="default" w:ascii="Times New Roman" w:hAnsi="Times New Roman" w:eastAsia="SimSun" w:cs="Times New Roman"/>
          <w:kern w:val="0"/>
          <w:sz w:val="20"/>
          <w:szCs w:val="20"/>
          <w:lang w:val="en-US" w:eastAsia="zh-CN" w:bidi="ar"/>
        </w:rPr>
        <w:t xml:space="preserve">(1), Article 1.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"https://doi.org/10.1021/cc9800071"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https://doi.org/10.1021/cc9800071</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Guex, N., &amp; Peitsch, M. C. (1997). SWISS-MODEL and the Swiss-Pdb Viewer: An environment for comparative protein modeling. </w:t>
      </w:r>
      <w:r>
        <w:rPr>
          <w:rFonts w:hint="default" w:ascii="Times New Roman" w:hAnsi="Times New Roman" w:eastAsia="SimSun" w:cs="Times New Roman"/>
          <w:i/>
          <w:iCs/>
          <w:kern w:val="0"/>
          <w:sz w:val="20"/>
          <w:szCs w:val="20"/>
          <w:lang w:val="en-US" w:eastAsia="zh-CN" w:bidi="ar"/>
        </w:rPr>
        <w:t>Electrophoresis</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18</w:t>
      </w:r>
      <w:r>
        <w:rPr>
          <w:rFonts w:hint="default" w:ascii="Times New Roman" w:hAnsi="Times New Roman" w:eastAsia="SimSun" w:cs="Times New Roman"/>
          <w:kern w:val="0"/>
          <w:sz w:val="20"/>
          <w:szCs w:val="20"/>
          <w:lang w:val="en-US" w:eastAsia="zh-CN" w:bidi="ar"/>
        </w:rPr>
        <w:t xml:space="preserve">(15), Article 15.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"https://doi.org/10.1002/elps.1150181505"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https://doi.org/10.1002/elps.1150181505</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Gui, H., Zhang, Z., Chen, B., Chen, Y., Wang, Y., Long, Z., Zhu, C., Wang, Y., Cao, Z., &amp; Xie, Q. (2023). Development and validation of a nomogram to predict failure of 14-day negative nucleic acid conversion in adults with non-severe COVID-19 during the Omicron surge: A retrospective multicenter study. </w:t>
      </w:r>
      <w:r>
        <w:rPr>
          <w:rFonts w:hint="default" w:ascii="Times New Roman" w:hAnsi="Times New Roman" w:eastAsia="SimSun" w:cs="Times New Roman"/>
          <w:i/>
          <w:iCs/>
          <w:kern w:val="0"/>
          <w:sz w:val="20"/>
          <w:szCs w:val="20"/>
          <w:lang w:val="en-US" w:eastAsia="zh-CN" w:bidi="ar"/>
        </w:rPr>
        <w:t>Infectious Diseases of Poverty</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12</w:t>
      </w:r>
      <w:r>
        <w:rPr>
          <w:rFonts w:hint="default" w:ascii="Times New Roman" w:hAnsi="Times New Roman" w:eastAsia="SimSun" w:cs="Times New Roman"/>
          <w:kern w:val="0"/>
          <w:sz w:val="20"/>
          <w:szCs w:val="20"/>
          <w:lang w:val="en-US" w:eastAsia="zh-CN" w:bidi="ar"/>
        </w:rPr>
        <w:t xml:space="preserve">(1), 7.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"https://doi.org/10.1186/s40249-023-01057-4"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https://doi.org/10.1186/s40249-023-01057-4</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Hitchcock, S. A., &amp; Pennington, L. D. (2006). Structure−Brain Exposure Relationships. </w:t>
      </w:r>
      <w:r>
        <w:rPr>
          <w:rFonts w:hint="default" w:ascii="Times New Roman" w:hAnsi="Times New Roman" w:eastAsia="SimSun" w:cs="Times New Roman"/>
          <w:i/>
          <w:iCs/>
          <w:kern w:val="0"/>
          <w:sz w:val="20"/>
          <w:szCs w:val="20"/>
          <w:lang w:val="en-US" w:eastAsia="zh-CN" w:bidi="ar"/>
        </w:rPr>
        <w:t>Journal of Medicinal Chemistry</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49</w:t>
      </w:r>
      <w:r>
        <w:rPr>
          <w:rFonts w:hint="default" w:ascii="Times New Roman" w:hAnsi="Times New Roman" w:eastAsia="SimSun" w:cs="Times New Roman"/>
          <w:kern w:val="0"/>
          <w:sz w:val="20"/>
          <w:szCs w:val="20"/>
          <w:lang w:val="en-US" w:eastAsia="zh-CN" w:bidi="ar"/>
        </w:rPr>
        <w:t xml:space="preserve">(26), Article 26.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"https://doi.org/10.1021/jm060642i"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https://doi.org/10.1021/jm060642i</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Hu, B., Guo, H., Zhou, P., &amp; Shi, Z.-L. (2021). Characteristics of SARS-CoV-2 and COVID-19. </w:t>
      </w:r>
      <w:r>
        <w:rPr>
          <w:rFonts w:hint="default" w:ascii="Times New Roman" w:hAnsi="Times New Roman" w:eastAsia="SimSun" w:cs="Times New Roman"/>
          <w:i/>
          <w:iCs/>
          <w:kern w:val="0"/>
          <w:sz w:val="20"/>
          <w:szCs w:val="20"/>
          <w:lang w:val="en-US" w:eastAsia="zh-CN" w:bidi="ar"/>
        </w:rPr>
        <w:t>Nature Reviews Microbiology</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19</w:t>
      </w:r>
      <w:r>
        <w:rPr>
          <w:rFonts w:hint="default" w:ascii="Times New Roman" w:hAnsi="Times New Roman" w:eastAsia="SimSun" w:cs="Times New Roman"/>
          <w:kern w:val="0"/>
          <w:sz w:val="20"/>
          <w:szCs w:val="20"/>
          <w:lang w:val="en-US" w:eastAsia="zh-CN" w:bidi="ar"/>
        </w:rPr>
        <w:t xml:space="preserve">(3), Article 3.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"https://doi.org/10.1038/s41579-020-00459-7"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https://doi.org/10.1038/s41579-020-00459-7</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Huang, J., Yin, D., Qin, X., Yu, M., Jiang, B., Chen, J., Cao, Q., &amp; Tang, Z. (2022). Case report: Application of nirmatrelvir/ritonavir to treat COVID-19 in a severe aplastic anemia child after allogeneic hematopoietic stem cell transplantation. </w:t>
      </w:r>
      <w:r>
        <w:rPr>
          <w:rFonts w:hint="default" w:ascii="Times New Roman" w:hAnsi="Times New Roman" w:eastAsia="SimSun" w:cs="Times New Roman"/>
          <w:i/>
          <w:iCs/>
          <w:kern w:val="0"/>
          <w:sz w:val="20"/>
          <w:szCs w:val="20"/>
          <w:lang w:val="en-US" w:eastAsia="zh-CN" w:bidi="ar"/>
        </w:rPr>
        <w:t>Frontiers in Pediatrics</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10</w:t>
      </w:r>
      <w:r>
        <w:rPr>
          <w:rFonts w:hint="default" w:ascii="Times New Roman" w:hAnsi="Times New Roman" w:eastAsia="SimSun" w:cs="Times New Roman"/>
          <w:kern w:val="0"/>
          <w:sz w:val="20"/>
          <w:szCs w:val="20"/>
          <w:lang w:val="en-US" w:eastAsia="zh-CN" w:bidi="ar"/>
        </w:rPr>
        <w:t xml:space="preserve">, 935118.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"https://doi.org/10.3389/fped.2022.935118"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https://doi.org/10.3389/fped.2022.935118</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Huynh, T., Cornell, W., &amp; Luan, B. (2021). In silico Exploration of Inhibitors for SARS-CoV-2’s Papain-Like Protease. </w:t>
      </w:r>
      <w:r>
        <w:rPr>
          <w:rFonts w:hint="default" w:ascii="Times New Roman" w:hAnsi="Times New Roman" w:eastAsia="SimSun" w:cs="Times New Roman"/>
          <w:i/>
          <w:iCs/>
          <w:kern w:val="0"/>
          <w:sz w:val="20"/>
          <w:szCs w:val="20"/>
          <w:lang w:val="en-US" w:eastAsia="zh-CN" w:bidi="ar"/>
        </w:rPr>
        <w:t>Frontiers in Chemistry</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8</w:t>
      </w:r>
      <w:r>
        <w:rPr>
          <w:rFonts w:hint="default" w:ascii="Times New Roman" w:hAnsi="Times New Roman" w:eastAsia="SimSun" w:cs="Times New Roman"/>
          <w:kern w:val="0"/>
          <w:sz w:val="20"/>
          <w:szCs w:val="20"/>
          <w:lang w:val="en-US" w:eastAsia="zh-CN" w:bidi="ar"/>
        </w:rPr>
        <w:t xml:space="preserve">, 624163.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"https://doi.org/10.3389/fchem.2020.624163"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https://doi.org/10.3389/fchem.2020.624163</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Inoue, H., &amp; Todo, Y. (2020). The propagation of economic impacts through supply chains: The case of a mega-city lockdown to prevent the spread of COVID-19. </w:t>
      </w:r>
      <w:r>
        <w:rPr>
          <w:rFonts w:hint="default" w:ascii="Times New Roman" w:hAnsi="Times New Roman" w:eastAsia="SimSun" w:cs="Times New Roman"/>
          <w:i/>
          <w:iCs/>
          <w:kern w:val="0"/>
          <w:sz w:val="20"/>
          <w:szCs w:val="20"/>
          <w:lang w:val="en-US" w:eastAsia="zh-CN" w:bidi="ar"/>
        </w:rPr>
        <w:t>PLOS ONE</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15</w:t>
      </w:r>
      <w:r>
        <w:rPr>
          <w:rFonts w:hint="default" w:ascii="Times New Roman" w:hAnsi="Times New Roman" w:eastAsia="SimSun" w:cs="Times New Roman"/>
          <w:kern w:val="0"/>
          <w:sz w:val="20"/>
          <w:szCs w:val="20"/>
          <w:lang w:val="en-US" w:eastAsia="zh-CN" w:bidi="ar"/>
        </w:rPr>
        <w:t xml:space="preserve">(9), Article 9.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"https://doi.org/10.1371/journal.pone.0239251"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https://doi.org/10.1371/journal.pone.0239251</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Kim, S., Thiessen, P. A., Bolton, E. E., Chen, J., Fu, G., Gindulyte, A., Han, L., He, J., He, S., Shoemaker, B. A., Wang, J., Yu, B., Zhang, J., &amp; Bryant, S. H. (2016). PubChem Substance and Compound databases. </w:t>
      </w:r>
      <w:r>
        <w:rPr>
          <w:rFonts w:hint="default" w:ascii="Times New Roman" w:hAnsi="Times New Roman" w:eastAsia="SimSun" w:cs="Times New Roman"/>
          <w:i/>
          <w:iCs/>
          <w:kern w:val="0"/>
          <w:sz w:val="20"/>
          <w:szCs w:val="20"/>
          <w:lang w:val="en-US" w:eastAsia="zh-CN" w:bidi="ar"/>
        </w:rPr>
        <w:t>Nucleic Acids Research</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44</w:t>
      </w:r>
      <w:r>
        <w:rPr>
          <w:rFonts w:hint="default" w:ascii="Times New Roman" w:hAnsi="Times New Roman" w:eastAsia="SimSun" w:cs="Times New Roman"/>
          <w:kern w:val="0"/>
          <w:sz w:val="20"/>
          <w:szCs w:val="20"/>
          <w:lang w:val="en-US" w:eastAsia="zh-CN" w:bidi="ar"/>
        </w:rPr>
        <w:t xml:space="preserve">(D1), D1202–D1213.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"https://doi.org/10.1093/nar/gkv951"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https://doi.org/10.1093/nar/gkv951</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Li, Q., Wu, J., Nie, J., Zhang, L., Hao, H., Liu, S., Zhao, C., Zhang, Q., Liu, H., Nie, L., Qin, H., Wang, M., Lu, Q., Li, X., Sun, Q., Liu, J., Zhang, L., Li, X., Huang, W., &amp; Wang, Y. (2020). The Impact of Mutations in SARS-CoV-2 Spike on Viral Infectivity and Antigenicity. </w:t>
      </w:r>
      <w:r>
        <w:rPr>
          <w:rFonts w:hint="default" w:ascii="Times New Roman" w:hAnsi="Times New Roman" w:eastAsia="SimSun" w:cs="Times New Roman"/>
          <w:i/>
          <w:iCs/>
          <w:kern w:val="0"/>
          <w:sz w:val="20"/>
          <w:szCs w:val="20"/>
          <w:lang w:val="en-US" w:eastAsia="zh-CN" w:bidi="ar"/>
        </w:rPr>
        <w:t>Cell</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182</w:t>
      </w:r>
      <w:r>
        <w:rPr>
          <w:rFonts w:hint="default" w:ascii="Times New Roman" w:hAnsi="Times New Roman" w:eastAsia="SimSun" w:cs="Times New Roman"/>
          <w:kern w:val="0"/>
          <w:sz w:val="20"/>
          <w:szCs w:val="20"/>
          <w:lang w:val="en-US" w:eastAsia="zh-CN" w:bidi="ar"/>
        </w:rPr>
        <w:t xml:space="preserve">(5), Article 5.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"https://doi.org/10.1016/j.cell.2020.07.012"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https://doi.org/10.1016/j.cell.2020.07.012</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Li, X., Lidsky, P. V., Xiao, Y., Wu, C.-T., Garcia-Knight, M., Yang, J., Nakayama, T., Nayak, J. V., Jackson, P. K., Andino, R., &amp; Shu, X. (2021). Ethacridine inhibits SARS-CoV-2 by inactivating viral particles. </w:t>
      </w:r>
      <w:r>
        <w:rPr>
          <w:rFonts w:hint="default" w:ascii="Times New Roman" w:hAnsi="Times New Roman" w:eastAsia="SimSun" w:cs="Times New Roman"/>
          <w:i/>
          <w:iCs/>
          <w:kern w:val="0"/>
          <w:sz w:val="20"/>
          <w:szCs w:val="20"/>
          <w:lang w:val="en-US" w:eastAsia="zh-CN" w:bidi="ar"/>
        </w:rPr>
        <w:t>PLOS Pathogens</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17</w:t>
      </w:r>
      <w:r>
        <w:rPr>
          <w:rFonts w:hint="default" w:ascii="Times New Roman" w:hAnsi="Times New Roman" w:eastAsia="SimSun" w:cs="Times New Roman"/>
          <w:kern w:val="0"/>
          <w:sz w:val="20"/>
          <w:szCs w:val="20"/>
          <w:lang w:val="en-US" w:eastAsia="zh-CN" w:bidi="ar"/>
        </w:rPr>
        <w:t xml:space="preserve">(9), Article 9.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"https://doi.org/10.1371/journal.ppat.1009898"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https://doi.org/10.1371/journal.ppat.1009898</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Lill, M. A., &amp; Danielson, M. L. (2011). Computer-aided drug design platform using PyMOL. </w:t>
      </w:r>
      <w:r>
        <w:rPr>
          <w:rFonts w:hint="default" w:ascii="Times New Roman" w:hAnsi="Times New Roman" w:eastAsia="SimSun" w:cs="Times New Roman"/>
          <w:i/>
          <w:iCs/>
          <w:kern w:val="0"/>
          <w:sz w:val="20"/>
          <w:szCs w:val="20"/>
          <w:lang w:val="en-US" w:eastAsia="zh-CN" w:bidi="ar"/>
        </w:rPr>
        <w:t>Journal of Computer-Aided Molecular Design</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25</w:t>
      </w:r>
      <w:r>
        <w:rPr>
          <w:rFonts w:hint="default" w:ascii="Times New Roman" w:hAnsi="Times New Roman" w:eastAsia="SimSun" w:cs="Times New Roman"/>
          <w:kern w:val="0"/>
          <w:sz w:val="20"/>
          <w:szCs w:val="20"/>
          <w:lang w:val="en-US" w:eastAsia="zh-CN" w:bidi="ar"/>
        </w:rPr>
        <w:t xml:space="preserve">(1), Article 1.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"https://doi.org/10.1007/s10822-010-9395-8"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https://doi.org/10.1007/s10822-010-9395-8</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Lipinski, C. A., Lombardo, F., Dominy, B. W., &amp; Feeney, P. J. (2001). Experimental and computational approaches to estimate solubility and permeability in drug discovery and development settings 1PII of original article: S0169-409X(96)00423-1. The article was originally published in Advanced Drug Delivery Reviews 23 (1997) 3–25. 1. </w:t>
      </w:r>
      <w:r>
        <w:rPr>
          <w:rFonts w:hint="default" w:ascii="Times New Roman" w:hAnsi="Times New Roman" w:eastAsia="SimSun" w:cs="Times New Roman"/>
          <w:i/>
          <w:iCs/>
          <w:kern w:val="0"/>
          <w:sz w:val="20"/>
          <w:szCs w:val="20"/>
          <w:lang w:val="en-US" w:eastAsia="zh-CN" w:bidi="ar"/>
        </w:rPr>
        <w:t>Advanced Drug Delivery Reviews</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46</w:t>
      </w:r>
      <w:r>
        <w:rPr>
          <w:rFonts w:hint="default" w:ascii="Times New Roman" w:hAnsi="Times New Roman" w:eastAsia="SimSun" w:cs="Times New Roman"/>
          <w:kern w:val="0"/>
          <w:sz w:val="20"/>
          <w:szCs w:val="20"/>
          <w:lang w:val="en-US" w:eastAsia="zh-CN" w:bidi="ar"/>
        </w:rPr>
        <w:t xml:space="preserve">(1–3), Article 1–3.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"https://doi.org/10.1016/S0169-409X(00)00129-0"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https://doi.org/10.1016/S0169-409X(00)00129-0</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Liu, Y., Yang, X., Gan, J., Chen, S., Xiao, Z.-X., &amp; Cao, Y. (2022). CB-Dock2: Improved protein–ligand blind docking by integrating cavity detection, docking and homologous template fitting. </w:t>
      </w:r>
      <w:r>
        <w:rPr>
          <w:rFonts w:hint="default" w:ascii="Times New Roman" w:hAnsi="Times New Roman" w:eastAsia="SimSun" w:cs="Times New Roman"/>
          <w:i/>
          <w:iCs/>
          <w:kern w:val="0"/>
          <w:sz w:val="20"/>
          <w:szCs w:val="20"/>
          <w:lang w:val="en-US" w:eastAsia="zh-CN" w:bidi="ar"/>
        </w:rPr>
        <w:t>Nucleic Acids Research</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50</w:t>
      </w:r>
      <w:r>
        <w:rPr>
          <w:rFonts w:hint="default" w:ascii="Times New Roman" w:hAnsi="Times New Roman" w:eastAsia="SimSun" w:cs="Times New Roman"/>
          <w:kern w:val="0"/>
          <w:sz w:val="20"/>
          <w:szCs w:val="20"/>
          <w:lang w:val="en-US" w:eastAsia="zh-CN" w:bidi="ar"/>
        </w:rPr>
        <w:t xml:space="preserve">(W1), Article W1.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"https://doi.org/10.1093/nar/gkac394"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https://doi.org/10.1093/nar/gkac394</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Maycock, A. L., Abeles, R. H., Salach, J. I., &amp; Singer, T. P. (1976). The structure of the covalent adduct formed by the interaction of 3-dimethylamino-1-propyne and the flavine of mitochondrial amine oxidase. </w:t>
      </w:r>
      <w:r>
        <w:rPr>
          <w:rFonts w:hint="default" w:ascii="Times New Roman" w:hAnsi="Times New Roman" w:eastAsia="SimSun" w:cs="Times New Roman"/>
          <w:i/>
          <w:iCs/>
          <w:kern w:val="0"/>
          <w:sz w:val="20"/>
          <w:szCs w:val="20"/>
          <w:lang w:val="en-US" w:eastAsia="zh-CN" w:bidi="ar"/>
        </w:rPr>
        <w:t>Biochemistry</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15</w:t>
      </w:r>
      <w:r>
        <w:rPr>
          <w:rFonts w:hint="default" w:ascii="Times New Roman" w:hAnsi="Times New Roman" w:eastAsia="SimSun" w:cs="Times New Roman"/>
          <w:kern w:val="0"/>
          <w:sz w:val="20"/>
          <w:szCs w:val="20"/>
          <w:lang w:val="en-US" w:eastAsia="zh-CN" w:bidi="ar"/>
        </w:rPr>
        <w:t xml:space="preserve">(1), Article 1.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"https://doi.org/10.1021/bi00646a018"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https://doi.org/10.1021/bi00646a018</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Miyah, Y., Benjelloun, M., Lairini, S., &amp; Lahrichi, A. (2022). COVID-19 Impact on Public Health, Environment, Human Psychology, Global Socioeconomy, and Education. </w:t>
      </w:r>
      <w:r>
        <w:rPr>
          <w:rFonts w:hint="default" w:ascii="Times New Roman" w:hAnsi="Times New Roman" w:eastAsia="SimSun" w:cs="Times New Roman"/>
          <w:i/>
          <w:iCs/>
          <w:kern w:val="0"/>
          <w:sz w:val="20"/>
          <w:szCs w:val="20"/>
          <w:lang w:val="en-US" w:eastAsia="zh-CN" w:bidi="ar"/>
        </w:rPr>
        <w:t>The Scientific World Journal</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2022</w:t>
      </w:r>
      <w:r>
        <w:rPr>
          <w:rFonts w:hint="default" w:ascii="Times New Roman" w:hAnsi="Times New Roman" w:eastAsia="SimSun" w:cs="Times New Roman"/>
          <w:kern w:val="0"/>
          <w:sz w:val="20"/>
          <w:szCs w:val="20"/>
          <w:lang w:val="en-US" w:eastAsia="zh-CN" w:bidi="ar"/>
        </w:rPr>
        <w:t xml:space="preserve">, 1–8.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"https://doi.org/10.1155/2022/5578284"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https://doi.org/10.1155/2022/5578284</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Rose, P. W., Prlić, A., Altunkaya, A</w:t>
      </w:r>
      <w:bookmarkStart w:id="20" w:name="_GoBack"/>
      <w:bookmarkEnd w:id="20"/>
      <w:r>
        <w:rPr>
          <w:rFonts w:hint="default" w:ascii="Times New Roman" w:hAnsi="Times New Roman" w:eastAsia="SimSun" w:cs="Times New Roman"/>
          <w:kern w:val="0"/>
          <w:sz w:val="20"/>
          <w:szCs w:val="20"/>
          <w:lang w:val="en-US" w:eastAsia="zh-CN" w:bidi="ar"/>
        </w:rPr>
        <w:t xml:space="preserve">., Bi, C., Bradley, A. R., Christie, C. H., Costanzo, L. D., Duarte, J. M., Dutta, S., Feng, Z., Green, R. K., Goodsell, D. S., Hudson, B., Kalro, T., Lowe, R., Peisach, E., Randle, C., Rose, A. S., Shao, C., … Burley, S. K. (2017). The RCSB protein data bank: Integrative view of protein, gene and 3D structural information. </w:t>
      </w:r>
      <w:r>
        <w:rPr>
          <w:rFonts w:hint="default" w:ascii="Times New Roman" w:hAnsi="Times New Roman" w:eastAsia="SimSun" w:cs="Times New Roman"/>
          <w:i/>
          <w:iCs/>
          <w:kern w:val="0"/>
          <w:sz w:val="20"/>
          <w:szCs w:val="20"/>
          <w:lang w:val="en-US" w:eastAsia="zh-CN" w:bidi="ar"/>
        </w:rPr>
        <w:t>Nucleic Acids Research</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45</w:t>
      </w:r>
      <w:r>
        <w:rPr>
          <w:rFonts w:hint="default" w:ascii="Times New Roman" w:hAnsi="Times New Roman" w:eastAsia="SimSun" w:cs="Times New Roman"/>
          <w:kern w:val="0"/>
          <w:sz w:val="20"/>
          <w:szCs w:val="20"/>
          <w:lang w:val="en-US" w:eastAsia="zh-CN" w:bidi="ar"/>
        </w:rPr>
        <w:t xml:space="preserve">(D1), D271–D281.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"https://doi.org/10.1093/nar/gkw1000"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https://doi.org/10.1093/nar/gkw1000</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Pajouhesh, H., &amp; Lenz, G. R. (2005). Medicinal chemical properties of successful central nervous system drugs. </w:t>
      </w:r>
      <w:r>
        <w:rPr>
          <w:rFonts w:hint="default" w:ascii="Times New Roman" w:hAnsi="Times New Roman" w:eastAsia="SimSun" w:cs="Times New Roman"/>
          <w:i/>
          <w:iCs/>
          <w:kern w:val="0"/>
          <w:sz w:val="20"/>
          <w:szCs w:val="20"/>
          <w:lang w:val="en-US" w:eastAsia="zh-CN" w:bidi="ar"/>
        </w:rPr>
        <w:t>NeuroRX</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2</w:t>
      </w:r>
      <w:r>
        <w:rPr>
          <w:rFonts w:hint="default" w:ascii="Times New Roman" w:hAnsi="Times New Roman" w:eastAsia="SimSun" w:cs="Times New Roman"/>
          <w:kern w:val="0"/>
          <w:sz w:val="20"/>
          <w:szCs w:val="20"/>
          <w:lang w:val="en-US" w:eastAsia="zh-CN" w:bidi="ar"/>
        </w:rPr>
        <w:t xml:space="preserve">(4), Article 4.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"https://doi.org/10.1602/neurorx.2.4.541"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https://doi.org/10.1602/neurorx.2.4.541</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Park, J. J., Lee, J., Seo, Y. B., &amp; Na, S. H. (2022). Nirmatrelvir/Ritonavir Prescription Rate and Outcomes in Coronavirus Disease 2019: A Single Center Study. </w:t>
      </w:r>
      <w:r>
        <w:rPr>
          <w:rFonts w:hint="default" w:ascii="Times New Roman" w:hAnsi="Times New Roman" w:eastAsia="SimSun" w:cs="Times New Roman"/>
          <w:i/>
          <w:iCs/>
          <w:kern w:val="0"/>
          <w:sz w:val="20"/>
          <w:szCs w:val="20"/>
          <w:lang w:val="en-US" w:eastAsia="zh-CN" w:bidi="ar"/>
        </w:rPr>
        <w:t>Infection &amp; Chemotherapy</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54</w:t>
      </w:r>
      <w:r>
        <w:rPr>
          <w:rFonts w:hint="default" w:ascii="Times New Roman" w:hAnsi="Times New Roman" w:eastAsia="SimSun" w:cs="Times New Roman"/>
          <w:kern w:val="0"/>
          <w:sz w:val="20"/>
          <w:szCs w:val="20"/>
          <w:lang w:val="en-US" w:eastAsia="zh-CN" w:bidi="ar"/>
        </w:rPr>
        <w:t xml:space="preserve">(4), 757.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"https://doi.org/10.3947/ic.2022.0123"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https://doi.org/10.3947/ic.2022.0123</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Patnaik, U. J. 2. (2021). Review article on COVID-19 and Guillain-Barré syndrome. </w:t>
      </w:r>
      <w:r>
        <w:rPr>
          <w:rFonts w:hint="default" w:ascii="Times New Roman" w:hAnsi="Times New Roman" w:eastAsia="SimSun" w:cs="Times New Roman"/>
          <w:i/>
          <w:iCs/>
          <w:kern w:val="0"/>
          <w:sz w:val="20"/>
          <w:szCs w:val="20"/>
          <w:lang w:val="en-US" w:eastAsia="zh-CN" w:bidi="ar"/>
        </w:rPr>
        <w:t>Frontiers in Bioscience-Scholar</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13</w:t>
      </w:r>
      <w:r>
        <w:rPr>
          <w:rFonts w:hint="default" w:ascii="Times New Roman" w:hAnsi="Times New Roman" w:eastAsia="SimSun" w:cs="Times New Roman"/>
          <w:kern w:val="0"/>
          <w:sz w:val="20"/>
          <w:szCs w:val="20"/>
          <w:lang w:val="en-US" w:eastAsia="zh-CN" w:bidi="ar"/>
        </w:rPr>
        <w:t xml:space="preserve">(1), Article 1.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"https://doi.org/10.52586/S555"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https://doi.org/10.52586/S555</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Rodrigues, L., Bento Cunha, R., Vassilevskaia, T., Viveiros, M., &amp; Cunha, C. (2022). Drug Repurposing for COVID-19: A Review and a Novel Strategy to Identify New Targets and Potential Drug Candidates. </w:t>
      </w:r>
      <w:r>
        <w:rPr>
          <w:rFonts w:hint="default" w:ascii="Times New Roman" w:hAnsi="Times New Roman" w:eastAsia="SimSun" w:cs="Times New Roman"/>
          <w:i/>
          <w:iCs/>
          <w:kern w:val="0"/>
          <w:sz w:val="20"/>
          <w:szCs w:val="20"/>
          <w:lang w:val="en-US" w:eastAsia="zh-CN" w:bidi="ar"/>
        </w:rPr>
        <w:t>Molecules</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27</w:t>
      </w:r>
      <w:r>
        <w:rPr>
          <w:rFonts w:hint="default" w:ascii="Times New Roman" w:hAnsi="Times New Roman" w:eastAsia="SimSun" w:cs="Times New Roman"/>
          <w:kern w:val="0"/>
          <w:sz w:val="20"/>
          <w:szCs w:val="20"/>
          <w:lang w:val="en-US" w:eastAsia="zh-CN" w:bidi="ar"/>
        </w:rPr>
        <w:t xml:space="preserve">(9), 2723.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"https://doi.org/10.3390/molecules27092723"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https://doi.org/10.3390/molecules27092723</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Sikarwar, M. S., Hui, B. J., Subramaniam, K., Valeisamy, B. D., Yean, L. K., &amp; Balaji, K. (2014). A Review on Artocarpus altilis (Parkinson) Fosberg (breadfruit). </w:t>
      </w:r>
      <w:r>
        <w:rPr>
          <w:rFonts w:hint="default" w:ascii="Times New Roman" w:hAnsi="Times New Roman" w:eastAsia="SimSun" w:cs="Times New Roman"/>
          <w:i/>
          <w:iCs/>
          <w:kern w:val="0"/>
          <w:sz w:val="20"/>
          <w:szCs w:val="20"/>
          <w:lang w:val="en-US" w:eastAsia="zh-CN" w:bidi="ar"/>
        </w:rPr>
        <w:t>Journal of Applied Pharmaceutical Science</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4</w:t>
      </w:r>
      <w:r>
        <w:rPr>
          <w:rFonts w:hint="default" w:ascii="Times New Roman" w:hAnsi="Times New Roman" w:eastAsia="SimSun" w:cs="Times New Roman"/>
          <w:kern w:val="0"/>
          <w:sz w:val="20"/>
          <w:szCs w:val="20"/>
          <w:lang w:val="en-US" w:eastAsia="zh-CN" w:bidi="ar"/>
        </w:rPr>
        <w:t xml:space="preserve">(8), 091–097.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"https://doi.org/10.7324/JAPS.2014.40818"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https://doi.org/10.7324/JAPS.2014.40818</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Vivek-Ananth, R. P., Mohanraj, K., Sahoo, A. K., &amp; Samal, A. (2023). IMPPAT 2.0: An Enhanced and Expanded Phytochemical Atlas of Indian Medicinal Plants. </w:t>
      </w:r>
      <w:r>
        <w:rPr>
          <w:rFonts w:hint="default" w:ascii="Times New Roman" w:hAnsi="Times New Roman" w:eastAsia="SimSun" w:cs="Times New Roman"/>
          <w:i/>
          <w:iCs/>
          <w:kern w:val="0"/>
          <w:sz w:val="20"/>
          <w:szCs w:val="20"/>
          <w:lang w:val="en-US" w:eastAsia="zh-CN" w:bidi="ar"/>
        </w:rPr>
        <w:t>ACS Omega</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8</w:t>
      </w:r>
      <w:r>
        <w:rPr>
          <w:rFonts w:hint="default" w:ascii="Times New Roman" w:hAnsi="Times New Roman" w:eastAsia="SimSun" w:cs="Times New Roman"/>
          <w:kern w:val="0"/>
          <w:sz w:val="20"/>
          <w:szCs w:val="20"/>
          <w:lang w:val="en-US" w:eastAsia="zh-CN" w:bidi="ar"/>
        </w:rPr>
        <w:t xml:space="preserve">(9), 8827–8845.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"https://doi.org/10.1021/acsomega.3c00156"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https://doi.org/10.1021/acsomega.3c00156</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Yu, W., &amp; MacKerell, A. D. (2017). Computer-Aided Drug Design Methods. In P. Sass (Ed.), </w:t>
      </w:r>
      <w:r>
        <w:rPr>
          <w:rFonts w:hint="default" w:ascii="Times New Roman" w:hAnsi="Times New Roman" w:eastAsia="SimSun" w:cs="Times New Roman"/>
          <w:i/>
          <w:iCs/>
          <w:kern w:val="0"/>
          <w:sz w:val="20"/>
          <w:szCs w:val="20"/>
          <w:lang w:val="en-US" w:eastAsia="zh-CN" w:bidi="ar"/>
        </w:rPr>
        <w:t>Antibiotics</w:t>
      </w:r>
      <w:r>
        <w:rPr>
          <w:rFonts w:hint="default" w:ascii="Times New Roman" w:hAnsi="Times New Roman" w:eastAsia="SimSun" w:cs="Times New Roman"/>
          <w:kern w:val="0"/>
          <w:sz w:val="20"/>
          <w:szCs w:val="20"/>
          <w:lang w:val="en-US" w:eastAsia="zh-CN" w:bidi="ar"/>
        </w:rPr>
        <w:t xml:space="preserve"> (Vol. 1520, pp. 85–106). Springer New York.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"https://doi.org/10.1007/978-1-4939-6634-9_5"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https://doi.org/10.1007/978-1-4939-6634-9_5</w:t>
      </w:r>
      <w:r>
        <w:rPr>
          <w:rFonts w:hint="default" w:ascii="Times New Roman" w:hAnsi="Times New Roman" w:eastAsia="SimSun" w:cs="Times New Roman"/>
          <w:kern w:val="0"/>
          <w:sz w:val="20"/>
          <w:szCs w:val="20"/>
          <w:lang w:val="en-US" w:eastAsia="zh-CN" w:bidi="ar"/>
        </w:rPr>
        <w:fldChar w:fldCharType="end"/>
      </w:r>
    </w:p>
    <w:p>
      <w:pPr>
        <w:keepNext w:val="0"/>
        <w:keepLines w:val="0"/>
        <w:widowControl/>
        <w:suppressLineNumbers w:val="0"/>
        <w:spacing w:line="360" w:lineRule="auto"/>
        <w:ind w:left="420" w:hanging="420"/>
        <w:jc w:val="left"/>
        <w:rPr>
          <w:rFonts w:hint="default" w:ascii="Times New Roman" w:hAnsi="Times New Roman" w:cs="Times New Roman"/>
          <w:sz w:val="20"/>
          <w:szCs w:val="20"/>
        </w:rPr>
      </w:pPr>
      <w:r>
        <w:rPr>
          <w:rFonts w:hint="default" w:ascii="Times New Roman" w:hAnsi="Times New Roman" w:eastAsia="SimSun" w:cs="Times New Roman"/>
          <w:kern w:val="0"/>
          <w:sz w:val="20"/>
          <w:szCs w:val="20"/>
          <w:lang w:val="en-US" w:eastAsia="zh-CN" w:bidi="ar"/>
        </w:rPr>
        <w:t xml:space="preserve">Zhong, L., Diagne, M., Wang, W., &amp; Gao, J. (2021). Country distancing increase reveals the effectiveness of travel restrictions in stopping COVID-19 transmission. </w:t>
      </w:r>
      <w:r>
        <w:rPr>
          <w:rFonts w:hint="default" w:ascii="Times New Roman" w:hAnsi="Times New Roman" w:eastAsia="SimSun" w:cs="Times New Roman"/>
          <w:i/>
          <w:iCs/>
          <w:kern w:val="0"/>
          <w:sz w:val="20"/>
          <w:szCs w:val="20"/>
          <w:lang w:val="en-US" w:eastAsia="zh-CN" w:bidi="ar"/>
        </w:rPr>
        <w:t>Communications Physics</w:t>
      </w:r>
      <w:r>
        <w:rPr>
          <w:rFonts w:hint="default" w:ascii="Times New Roman" w:hAnsi="Times New Roman" w:eastAsia="SimSun" w:cs="Times New Roman"/>
          <w:kern w:val="0"/>
          <w:sz w:val="20"/>
          <w:szCs w:val="20"/>
          <w:lang w:val="en-US" w:eastAsia="zh-CN" w:bidi="ar"/>
        </w:rPr>
        <w:t xml:space="preserve">, </w:t>
      </w:r>
      <w:r>
        <w:rPr>
          <w:rFonts w:hint="default" w:ascii="Times New Roman" w:hAnsi="Times New Roman" w:eastAsia="SimSun" w:cs="Times New Roman"/>
          <w:i/>
          <w:iCs/>
          <w:kern w:val="0"/>
          <w:sz w:val="20"/>
          <w:szCs w:val="20"/>
          <w:lang w:val="en-US" w:eastAsia="zh-CN" w:bidi="ar"/>
        </w:rPr>
        <w:t>4</w:t>
      </w:r>
      <w:r>
        <w:rPr>
          <w:rFonts w:hint="default" w:ascii="Times New Roman" w:hAnsi="Times New Roman" w:eastAsia="SimSun" w:cs="Times New Roman"/>
          <w:kern w:val="0"/>
          <w:sz w:val="20"/>
          <w:szCs w:val="20"/>
          <w:lang w:val="en-US" w:eastAsia="zh-CN" w:bidi="ar"/>
        </w:rPr>
        <w:t xml:space="preserve">(1), Article 1. </w:t>
      </w:r>
      <w:r>
        <w:rPr>
          <w:rFonts w:hint="default" w:ascii="Times New Roman" w:hAnsi="Times New Roman" w:eastAsia="SimSun" w:cs="Times New Roman"/>
          <w:kern w:val="0"/>
          <w:sz w:val="20"/>
          <w:szCs w:val="20"/>
          <w:lang w:val="en-US" w:eastAsia="zh-CN" w:bidi="ar"/>
        </w:rPr>
        <w:fldChar w:fldCharType="begin"/>
      </w:r>
      <w:r>
        <w:rPr>
          <w:rFonts w:hint="default" w:ascii="Times New Roman" w:hAnsi="Times New Roman" w:eastAsia="SimSun" w:cs="Times New Roman"/>
          <w:kern w:val="0"/>
          <w:sz w:val="20"/>
          <w:szCs w:val="20"/>
          <w:lang w:val="en-US" w:eastAsia="zh-CN" w:bidi="ar"/>
        </w:rPr>
        <w:instrText xml:space="preserve"> HYPERLINK "https://doi.org/10.1038/s42005-021-00620-5" </w:instrText>
      </w:r>
      <w:r>
        <w:rPr>
          <w:rFonts w:hint="default" w:ascii="Times New Roman" w:hAnsi="Times New Roman" w:eastAsia="SimSun" w:cs="Times New Roman"/>
          <w:kern w:val="0"/>
          <w:sz w:val="20"/>
          <w:szCs w:val="20"/>
          <w:lang w:val="en-US" w:eastAsia="zh-CN" w:bidi="ar"/>
        </w:rPr>
        <w:fldChar w:fldCharType="separate"/>
      </w:r>
      <w:r>
        <w:rPr>
          <w:rStyle w:val="15"/>
          <w:rFonts w:hint="default" w:ascii="Times New Roman" w:hAnsi="Times New Roman" w:eastAsia="SimSun" w:cs="Times New Roman"/>
          <w:sz w:val="20"/>
          <w:szCs w:val="20"/>
        </w:rPr>
        <w:t>https://doi.org/10.1038/s42005-021-00620-5</w:t>
      </w:r>
      <w:r>
        <w:rPr>
          <w:rFonts w:hint="default" w:ascii="Times New Roman" w:hAnsi="Times New Roman" w:eastAsia="SimSun" w:cs="Times New Roman"/>
          <w:kern w:val="0"/>
          <w:sz w:val="20"/>
          <w:szCs w:val="20"/>
          <w:lang w:val="en-US" w:eastAsia="zh-CN" w:bidi="ar"/>
        </w:rPr>
        <w:fldChar w:fldCharType="end"/>
      </w:r>
    </w:p>
    <w:p>
      <w:pPr>
        <w:pStyle w:val="16"/>
        <w:spacing w:beforeAutospacing="0" w:after="120" w:afterAutospacing="0" w:line="360" w:lineRule="auto"/>
        <w:ind w:left="440" w:hanging="440" w:hangingChars="220"/>
        <w:rPr>
          <w:rFonts w:hint="default" w:ascii="Times New Roman" w:hAnsi="Times New Roman" w:cs="Times New Roman"/>
          <w:sz w:val="20"/>
          <w:szCs w:val="20"/>
        </w:rPr>
      </w:pPr>
    </w:p>
    <w:sectPr>
      <w:headerReference r:id="rId6" w:type="first"/>
      <w:footerReference r:id="rId9" w:type="first"/>
      <w:footerReference r:id="rId7" w:type="default"/>
      <w:headerReference r:id="rId5" w:type="even"/>
      <w:footerReference r:id="rId8" w:type="even"/>
      <w:pgSz w:w="11906" w:h="16838"/>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Roboto Black">
    <w:panose1 w:val="02000000000000000000"/>
    <w:charset w:val="00"/>
    <w:family w:val="auto"/>
    <w:pitch w:val="default"/>
    <w:sig w:usb0="E00002FF" w:usb1="5000205B" w:usb2="00000020" w:usb3="00000000" w:csb0="2000019F" w:csb1="00000000"/>
  </w:font>
  <w:font w:name="Cambria">
    <w:panose1 w:val="02040503050406030204"/>
    <w:charset w:val="00"/>
    <w:family w:val="roman"/>
    <w:pitch w:val="default"/>
    <w:sig w:usb0="E00006FF" w:usb1="420024FF" w:usb2="02000000" w:usb3="00000000" w:csb0="2000019F" w:csb1="00000000"/>
  </w:font>
  <w:font w:name="MinionPro-Regular">
    <w:altName w:val="Malgun Gothic"/>
    <w:panose1 w:val="00000000000000000000"/>
    <w:charset w:val="81"/>
    <w:family w:val="swiss"/>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Gungsuh">
    <w:altName w:val="Malgun Gothic"/>
    <w:panose1 w:val="02030600000101010101"/>
    <w:charset w:val="81"/>
    <w:family w:val="roman"/>
    <w:pitch w:val="default"/>
    <w:sig w:usb0="00000000" w:usb1="00000000" w:usb2="00000030" w:usb3="00000000" w:csb0="0008009F" w:csb1="00000000"/>
  </w:font>
  <w:font w:name="Roboto">
    <w:panose1 w:val="02000000000000000000"/>
    <w:charset w:val="00"/>
    <w:family w:val="auto"/>
    <w:pitch w:val="default"/>
    <w:sig w:usb0="E00002FF" w:usb1="5000205B" w:usb2="00000020" w:usb3="00000000" w:csb0="2000019F" w:csb1="00000000"/>
  </w:font>
  <w:font w:name="serif">
    <w:altName w:val="BanglaFontNormal"/>
    <w:panose1 w:val="00000000000000000000"/>
    <w:charset w:val="00"/>
    <w:family w:val="auto"/>
    <w:pitch w:val="default"/>
    <w:sig w:usb0="00000000" w:usb1="00000000" w:usb2="00000000" w:usb3="00000000" w:csb0="00000000" w:csb1="00000000"/>
  </w:font>
  <w:font w:name="BanglaFontNormal">
    <w:panose1 w:val="02000400000000000000"/>
    <w:charset w:val="00"/>
    <w:family w:val="auto"/>
    <w:pitch w:val="default"/>
    <w:sig w:usb0="80000003" w:usb1="00000000" w:usb2="00000000" w:usb3="00000000" w:csb0="00000000" w:csb1="00000000"/>
  </w:font>
  <w:font w:name="Segoe UI Variable Text Light">
    <w:panose1 w:val="00000000000000000000"/>
    <w:charset w:val="00"/>
    <w:family w:val="auto"/>
    <w:pitch w:val="default"/>
    <w:sig w:usb0="A00002FF" w:usb1="0000000B" w:usb2="00000000" w:usb3="00000000" w:csb0="2000019F" w:csb1="00000000"/>
  </w:font>
  <w:font w:name="Segoe UI Variable Text">
    <w:panose1 w:val="00000000000000000000"/>
    <w:charset w:val="00"/>
    <w:family w:val="auto"/>
    <w:pitch w:val="default"/>
    <w:sig w:usb0="A00002FF" w:usb1="0000000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18"/>
        <w:szCs w:val="18"/>
      </w:rPr>
    </w:pPr>
    <w:r>
      <w:rPr>
        <w:sz w:val="18"/>
        <w:szCs w:val="18"/>
      </w:rPr>
      <w:t xml:space="preserve">Page </w:t>
    </w:r>
    <w:r>
      <w:rPr>
        <w:sz w:val="18"/>
        <w:szCs w:val="18"/>
      </w:rPr>
      <w:fldChar w:fldCharType="begin"/>
    </w:r>
    <w:r>
      <w:rPr>
        <w:sz w:val="18"/>
        <w:szCs w:val="18"/>
      </w:rPr>
      <w:instrText xml:space="preserve">PAGE</w:instrText>
    </w:r>
    <w:r>
      <w:rPr>
        <w:sz w:val="18"/>
        <w:szCs w:val="18"/>
      </w:rPr>
      <w:fldChar w:fldCharType="separate"/>
    </w:r>
    <w:r>
      <w:rPr>
        <w:sz w:val="18"/>
        <w:szCs w:val="18"/>
      </w:rPr>
      <w:t>16</w:t>
    </w:r>
    <w:r>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9B9"/>
    <w:rsid w:val="000A75F7"/>
    <w:rsid w:val="003A003E"/>
    <w:rsid w:val="00440BAB"/>
    <w:rsid w:val="004C19B9"/>
    <w:rsid w:val="004F6DF2"/>
    <w:rsid w:val="005479BD"/>
    <w:rsid w:val="005C174F"/>
    <w:rsid w:val="006360BD"/>
    <w:rsid w:val="00870CA8"/>
    <w:rsid w:val="008B7EBF"/>
    <w:rsid w:val="00911200"/>
    <w:rsid w:val="00A87252"/>
    <w:rsid w:val="00C34DAD"/>
    <w:rsid w:val="00CC546C"/>
    <w:rsid w:val="00CF2FCA"/>
    <w:rsid w:val="00E467F8"/>
    <w:rsid w:val="00E9734A"/>
    <w:rsid w:val="00F73ABD"/>
    <w:rsid w:val="00FC58E8"/>
    <w:rsid w:val="01423F24"/>
    <w:rsid w:val="014C6B51"/>
    <w:rsid w:val="01604F73"/>
    <w:rsid w:val="01862EC5"/>
    <w:rsid w:val="018B7C15"/>
    <w:rsid w:val="01A25A9B"/>
    <w:rsid w:val="01BC11EB"/>
    <w:rsid w:val="01D31245"/>
    <w:rsid w:val="01E737D2"/>
    <w:rsid w:val="01F40F97"/>
    <w:rsid w:val="022820AB"/>
    <w:rsid w:val="0273647F"/>
    <w:rsid w:val="027633AF"/>
    <w:rsid w:val="0285054A"/>
    <w:rsid w:val="02A62DD1"/>
    <w:rsid w:val="02B94A18"/>
    <w:rsid w:val="031E2DCA"/>
    <w:rsid w:val="03273EE4"/>
    <w:rsid w:val="037C4D15"/>
    <w:rsid w:val="037F327D"/>
    <w:rsid w:val="03AF1D7E"/>
    <w:rsid w:val="03D6462A"/>
    <w:rsid w:val="03E13871"/>
    <w:rsid w:val="04001E75"/>
    <w:rsid w:val="04086B8F"/>
    <w:rsid w:val="041E22FB"/>
    <w:rsid w:val="042D7DFF"/>
    <w:rsid w:val="04555F46"/>
    <w:rsid w:val="04657F2A"/>
    <w:rsid w:val="04835829"/>
    <w:rsid w:val="048900BC"/>
    <w:rsid w:val="04A83D97"/>
    <w:rsid w:val="04B95CB3"/>
    <w:rsid w:val="04C34B0D"/>
    <w:rsid w:val="04DD3AFD"/>
    <w:rsid w:val="051B4F7A"/>
    <w:rsid w:val="05252B6B"/>
    <w:rsid w:val="053211AE"/>
    <w:rsid w:val="053221DD"/>
    <w:rsid w:val="054A4502"/>
    <w:rsid w:val="054F6C10"/>
    <w:rsid w:val="0628281D"/>
    <w:rsid w:val="064408BE"/>
    <w:rsid w:val="064D1699"/>
    <w:rsid w:val="068B587B"/>
    <w:rsid w:val="06A046D3"/>
    <w:rsid w:val="06AA16C8"/>
    <w:rsid w:val="06B17456"/>
    <w:rsid w:val="06BB0C9A"/>
    <w:rsid w:val="06C40E3D"/>
    <w:rsid w:val="076A46DF"/>
    <w:rsid w:val="078E4D33"/>
    <w:rsid w:val="07982CA4"/>
    <w:rsid w:val="079E79DA"/>
    <w:rsid w:val="07AC659B"/>
    <w:rsid w:val="07CB1A5D"/>
    <w:rsid w:val="07E23C21"/>
    <w:rsid w:val="07EC578F"/>
    <w:rsid w:val="07F4584C"/>
    <w:rsid w:val="082D6B78"/>
    <w:rsid w:val="082E4202"/>
    <w:rsid w:val="083A1FD3"/>
    <w:rsid w:val="0843074D"/>
    <w:rsid w:val="08563AE1"/>
    <w:rsid w:val="08C43A55"/>
    <w:rsid w:val="08CF1E16"/>
    <w:rsid w:val="08D32DC8"/>
    <w:rsid w:val="08E32F56"/>
    <w:rsid w:val="08E56D94"/>
    <w:rsid w:val="08FB4B75"/>
    <w:rsid w:val="09112FA4"/>
    <w:rsid w:val="0937501A"/>
    <w:rsid w:val="09413EB1"/>
    <w:rsid w:val="098256EA"/>
    <w:rsid w:val="098652FF"/>
    <w:rsid w:val="0A0B0E13"/>
    <w:rsid w:val="0A400604"/>
    <w:rsid w:val="0A601EFF"/>
    <w:rsid w:val="0A8D5D45"/>
    <w:rsid w:val="0A9C4326"/>
    <w:rsid w:val="0ABA66C5"/>
    <w:rsid w:val="0B0C090E"/>
    <w:rsid w:val="0B21620A"/>
    <w:rsid w:val="0B33352E"/>
    <w:rsid w:val="0BB772BD"/>
    <w:rsid w:val="0BCD6AE0"/>
    <w:rsid w:val="0BDA3FEF"/>
    <w:rsid w:val="0BDD5EF5"/>
    <w:rsid w:val="0BEB2891"/>
    <w:rsid w:val="0CA61D08"/>
    <w:rsid w:val="0CEA1F46"/>
    <w:rsid w:val="0DAA0F44"/>
    <w:rsid w:val="0DB70FCC"/>
    <w:rsid w:val="0DE67105"/>
    <w:rsid w:val="0E234A50"/>
    <w:rsid w:val="0E4017EB"/>
    <w:rsid w:val="0E6A54A7"/>
    <w:rsid w:val="0E782061"/>
    <w:rsid w:val="0EBE08AC"/>
    <w:rsid w:val="0EE129C5"/>
    <w:rsid w:val="0F247F3C"/>
    <w:rsid w:val="0F5202BA"/>
    <w:rsid w:val="0F957915"/>
    <w:rsid w:val="0F9E09FB"/>
    <w:rsid w:val="0FC722CE"/>
    <w:rsid w:val="103559AD"/>
    <w:rsid w:val="10706B52"/>
    <w:rsid w:val="10A36062"/>
    <w:rsid w:val="10A633B4"/>
    <w:rsid w:val="10DD0C6C"/>
    <w:rsid w:val="10DF2454"/>
    <w:rsid w:val="10F71999"/>
    <w:rsid w:val="110B0D70"/>
    <w:rsid w:val="111D7AC0"/>
    <w:rsid w:val="112A6FA4"/>
    <w:rsid w:val="114933C9"/>
    <w:rsid w:val="115E7DDC"/>
    <w:rsid w:val="11645392"/>
    <w:rsid w:val="11811F3B"/>
    <w:rsid w:val="11B222A4"/>
    <w:rsid w:val="11C53016"/>
    <w:rsid w:val="123F1361"/>
    <w:rsid w:val="1258679A"/>
    <w:rsid w:val="12771079"/>
    <w:rsid w:val="127777A6"/>
    <w:rsid w:val="128615C6"/>
    <w:rsid w:val="12BD4913"/>
    <w:rsid w:val="12E90493"/>
    <w:rsid w:val="12F220F5"/>
    <w:rsid w:val="134B0E7B"/>
    <w:rsid w:val="134D3EAA"/>
    <w:rsid w:val="13741F37"/>
    <w:rsid w:val="139F73E8"/>
    <w:rsid w:val="13B54A2A"/>
    <w:rsid w:val="13B91CE5"/>
    <w:rsid w:val="13C44C6D"/>
    <w:rsid w:val="13C647B4"/>
    <w:rsid w:val="13E64BE3"/>
    <w:rsid w:val="14306FEE"/>
    <w:rsid w:val="1437646B"/>
    <w:rsid w:val="144672B8"/>
    <w:rsid w:val="14977E3D"/>
    <w:rsid w:val="149E3431"/>
    <w:rsid w:val="14C17833"/>
    <w:rsid w:val="14CB2C14"/>
    <w:rsid w:val="14E079AA"/>
    <w:rsid w:val="14F41039"/>
    <w:rsid w:val="1517224A"/>
    <w:rsid w:val="154B265F"/>
    <w:rsid w:val="156B3E8C"/>
    <w:rsid w:val="15870698"/>
    <w:rsid w:val="159B0DB2"/>
    <w:rsid w:val="15F27379"/>
    <w:rsid w:val="160E5587"/>
    <w:rsid w:val="161F1492"/>
    <w:rsid w:val="162B6872"/>
    <w:rsid w:val="1669338E"/>
    <w:rsid w:val="16A4274E"/>
    <w:rsid w:val="16AA4E8F"/>
    <w:rsid w:val="16B20F72"/>
    <w:rsid w:val="16B84434"/>
    <w:rsid w:val="173F2BBF"/>
    <w:rsid w:val="174F48FB"/>
    <w:rsid w:val="17664982"/>
    <w:rsid w:val="17677794"/>
    <w:rsid w:val="17727260"/>
    <w:rsid w:val="17920E8C"/>
    <w:rsid w:val="17932D4E"/>
    <w:rsid w:val="17C56F63"/>
    <w:rsid w:val="17CA65CA"/>
    <w:rsid w:val="17E765AC"/>
    <w:rsid w:val="17FD14DC"/>
    <w:rsid w:val="180663CA"/>
    <w:rsid w:val="18095344"/>
    <w:rsid w:val="18490519"/>
    <w:rsid w:val="18575DED"/>
    <w:rsid w:val="185B47B0"/>
    <w:rsid w:val="1872092B"/>
    <w:rsid w:val="187D363C"/>
    <w:rsid w:val="18942F6A"/>
    <w:rsid w:val="191A0E8B"/>
    <w:rsid w:val="194F4FBD"/>
    <w:rsid w:val="196820BE"/>
    <w:rsid w:val="197131A1"/>
    <w:rsid w:val="1992164F"/>
    <w:rsid w:val="1A092A2E"/>
    <w:rsid w:val="1ABA45AB"/>
    <w:rsid w:val="1AC8078F"/>
    <w:rsid w:val="1AC8358C"/>
    <w:rsid w:val="1B86225C"/>
    <w:rsid w:val="1B9206DD"/>
    <w:rsid w:val="1BA0780E"/>
    <w:rsid w:val="1BB042B0"/>
    <w:rsid w:val="1BC64416"/>
    <w:rsid w:val="1BE80FF3"/>
    <w:rsid w:val="1C021B50"/>
    <w:rsid w:val="1C0C7B45"/>
    <w:rsid w:val="1C11308B"/>
    <w:rsid w:val="1C130B67"/>
    <w:rsid w:val="1C3073BC"/>
    <w:rsid w:val="1C4415BD"/>
    <w:rsid w:val="1C5E494C"/>
    <w:rsid w:val="1C6E0228"/>
    <w:rsid w:val="1CA7071F"/>
    <w:rsid w:val="1CA83495"/>
    <w:rsid w:val="1CAA2442"/>
    <w:rsid w:val="1CB677C2"/>
    <w:rsid w:val="1CB772F4"/>
    <w:rsid w:val="1CD8052B"/>
    <w:rsid w:val="1CFF2872"/>
    <w:rsid w:val="1D2E66AD"/>
    <w:rsid w:val="1D5709BA"/>
    <w:rsid w:val="1D6375EC"/>
    <w:rsid w:val="1D656F90"/>
    <w:rsid w:val="1D8A4243"/>
    <w:rsid w:val="1D94613A"/>
    <w:rsid w:val="1DA97446"/>
    <w:rsid w:val="1DC25D24"/>
    <w:rsid w:val="1DCC51BE"/>
    <w:rsid w:val="1DD414D0"/>
    <w:rsid w:val="1DD430BC"/>
    <w:rsid w:val="1DD54DD1"/>
    <w:rsid w:val="1DF3687A"/>
    <w:rsid w:val="1E154B46"/>
    <w:rsid w:val="1E4D249F"/>
    <w:rsid w:val="1E6037E4"/>
    <w:rsid w:val="1E7D47EC"/>
    <w:rsid w:val="1E8670E5"/>
    <w:rsid w:val="1EFA07BC"/>
    <w:rsid w:val="1F244811"/>
    <w:rsid w:val="1F2503D6"/>
    <w:rsid w:val="1F284D51"/>
    <w:rsid w:val="1F7944C3"/>
    <w:rsid w:val="1F822D73"/>
    <w:rsid w:val="1FA15E62"/>
    <w:rsid w:val="1FAA1E71"/>
    <w:rsid w:val="1FBC425E"/>
    <w:rsid w:val="1FD52FD3"/>
    <w:rsid w:val="203B4489"/>
    <w:rsid w:val="20697933"/>
    <w:rsid w:val="20E24984"/>
    <w:rsid w:val="20F8014C"/>
    <w:rsid w:val="210448FA"/>
    <w:rsid w:val="21117372"/>
    <w:rsid w:val="2122192C"/>
    <w:rsid w:val="212C1FB8"/>
    <w:rsid w:val="214F0BB7"/>
    <w:rsid w:val="2183002D"/>
    <w:rsid w:val="21A5122B"/>
    <w:rsid w:val="21E00B03"/>
    <w:rsid w:val="21E206BD"/>
    <w:rsid w:val="22147F41"/>
    <w:rsid w:val="221C5FD2"/>
    <w:rsid w:val="222A707F"/>
    <w:rsid w:val="22E54C64"/>
    <w:rsid w:val="23134370"/>
    <w:rsid w:val="232F525B"/>
    <w:rsid w:val="23416665"/>
    <w:rsid w:val="237A5348"/>
    <w:rsid w:val="23871B0E"/>
    <w:rsid w:val="23B66548"/>
    <w:rsid w:val="23DE19DE"/>
    <w:rsid w:val="23E972F9"/>
    <w:rsid w:val="24255EBA"/>
    <w:rsid w:val="2429456C"/>
    <w:rsid w:val="244703BC"/>
    <w:rsid w:val="244949DD"/>
    <w:rsid w:val="245F2657"/>
    <w:rsid w:val="2466767A"/>
    <w:rsid w:val="24D51028"/>
    <w:rsid w:val="257E503F"/>
    <w:rsid w:val="25FD76F6"/>
    <w:rsid w:val="261B2843"/>
    <w:rsid w:val="26741DC2"/>
    <w:rsid w:val="269B45F1"/>
    <w:rsid w:val="27220408"/>
    <w:rsid w:val="272E4813"/>
    <w:rsid w:val="27441A9D"/>
    <w:rsid w:val="277B734F"/>
    <w:rsid w:val="277E2038"/>
    <w:rsid w:val="27C16FF2"/>
    <w:rsid w:val="282D43C0"/>
    <w:rsid w:val="284328E6"/>
    <w:rsid w:val="284539F0"/>
    <w:rsid w:val="28533431"/>
    <w:rsid w:val="285F7E30"/>
    <w:rsid w:val="28650298"/>
    <w:rsid w:val="28AB6D8C"/>
    <w:rsid w:val="28C456D4"/>
    <w:rsid w:val="28C61E52"/>
    <w:rsid w:val="28FB32A8"/>
    <w:rsid w:val="290742FC"/>
    <w:rsid w:val="291601D6"/>
    <w:rsid w:val="298417C5"/>
    <w:rsid w:val="298E56A9"/>
    <w:rsid w:val="29B13146"/>
    <w:rsid w:val="29B17DC2"/>
    <w:rsid w:val="29B31C7F"/>
    <w:rsid w:val="2AA35589"/>
    <w:rsid w:val="2ACA4220"/>
    <w:rsid w:val="2ACB3B4E"/>
    <w:rsid w:val="2AF23957"/>
    <w:rsid w:val="2B0A43BA"/>
    <w:rsid w:val="2B194381"/>
    <w:rsid w:val="2B365FF8"/>
    <w:rsid w:val="2B3A4C6C"/>
    <w:rsid w:val="2B4A5600"/>
    <w:rsid w:val="2B57010A"/>
    <w:rsid w:val="2B683CD8"/>
    <w:rsid w:val="2B697DAD"/>
    <w:rsid w:val="2BCF2A55"/>
    <w:rsid w:val="2BD4694A"/>
    <w:rsid w:val="2BDF56C0"/>
    <w:rsid w:val="2C1D20F0"/>
    <w:rsid w:val="2C2772A0"/>
    <w:rsid w:val="2C5421EC"/>
    <w:rsid w:val="2C5A09C6"/>
    <w:rsid w:val="2C904ABE"/>
    <w:rsid w:val="2C931B07"/>
    <w:rsid w:val="2C944F3E"/>
    <w:rsid w:val="2CB5708A"/>
    <w:rsid w:val="2CBB49FC"/>
    <w:rsid w:val="2D4F33A1"/>
    <w:rsid w:val="2D63556D"/>
    <w:rsid w:val="2D7C5898"/>
    <w:rsid w:val="2D9F4F3A"/>
    <w:rsid w:val="2DAF64F0"/>
    <w:rsid w:val="2DC15F0F"/>
    <w:rsid w:val="2DD01369"/>
    <w:rsid w:val="2DEC1B7D"/>
    <w:rsid w:val="2DF943A0"/>
    <w:rsid w:val="2E043618"/>
    <w:rsid w:val="2E577C32"/>
    <w:rsid w:val="2E676050"/>
    <w:rsid w:val="2EA07F25"/>
    <w:rsid w:val="2EBA15B9"/>
    <w:rsid w:val="2EF84D3C"/>
    <w:rsid w:val="2F1F2FBF"/>
    <w:rsid w:val="2F2120BF"/>
    <w:rsid w:val="2F652FB2"/>
    <w:rsid w:val="2F7A2447"/>
    <w:rsid w:val="2F8A0C93"/>
    <w:rsid w:val="2FA70495"/>
    <w:rsid w:val="2FBF1CF3"/>
    <w:rsid w:val="2FCA22E5"/>
    <w:rsid w:val="2FD952C9"/>
    <w:rsid w:val="301F52AD"/>
    <w:rsid w:val="304755B3"/>
    <w:rsid w:val="304840CE"/>
    <w:rsid w:val="305E143C"/>
    <w:rsid w:val="309A32F3"/>
    <w:rsid w:val="30C61F98"/>
    <w:rsid w:val="30CB6780"/>
    <w:rsid w:val="3117361B"/>
    <w:rsid w:val="3138414C"/>
    <w:rsid w:val="3171580C"/>
    <w:rsid w:val="319D2084"/>
    <w:rsid w:val="31CD0E02"/>
    <w:rsid w:val="31D222A8"/>
    <w:rsid w:val="31D864D0"/>
    <w:rsid w:val="32230959"/>
    <w:rsid w:val="323C7DCA"/>
    <w:rsid w:val="324A1BEC"/>
    <w:rsid w:val="324E2BA1"/>
    <w:rsid w:val="325C7CA7"/>
    <w:rsid w:val="327411B4"/>
    <w:rsid w:val="32983192"/>
    <w:rsid w:val="32FE7B93"/>
    <w:rsid w:val="330559D8"/>
    <w:rsid w:val="333F0512"/>
    <w:rsid w:val="334553B1"/>
    <w:rsid w:val="336A60D6"/>
    <w:rsid w:val="33723BA8"/>
    <w:rsid w:val="338148B9"/>
    <w:rsid w:val="33A53C9D"/>
    <w:rsid w:val="33D676EB"/>
    <w:rsid w:val="33FF73A6"/>
    <w:rsid w:val="340D05D0"/>
    <w:rsid w:val="34407840"/>
    <w:rsid w:val="344506F2"/>
    <w:rsid w:val="34452EB0"/>
    <w:rsid w:val="34704176"/>
    <w:rsid w:val="34943D90"/>
    <w:rsid w:val="34C85A00"/>
    <w:rsid w:val="34D24DA2"/>
    <w:rsid w:val="34D3124C"/>
    <w:rsid w:val="34DD0721"/>
    <w:rsid w:val="354A6139"/>
    <w:rsid w:val="355F6972"/>
    <w:rsid w:val="357D1770"/>
    <w:rsid w:val="357E594C"/>
    <w:rsid w:val="359A4390"/>
    <w:rsid w:val="35DE02D9"/>
    <w:rsid w:val="3619454C"/>
    <w:rsid w:val="365657A0"/>
    <w:rsid w:val="36886A74"/>
    <w:rsid w:val="36CB2CC0"/>
    <w:rsid w:val="36CF3195"/>
    <w:rsid w:val="36E07329"/>
    <w:rsid w:val="370D3660"/>
    <w:rsid w:val="37340932"/>
    <w:rsid w:val="3757346C"/>
    <w:rsid w:val="37650882"/>
    <w:rsid w:val="37EB7C62"/>
    <w:rsid w:val="37EC310B"/>
    <w:rsid w:val="3863501E"/>
    <w:rsid w:val="38AD56B2"/>
    <w:rsid w:val="38B15615"/>
    <w:rsid w:val="38CE0C88"/>
    <w:rsid w:val="38E15FDC"/>
    <w:rsid w:val="38E43132"/>
    <w:rsid w:val="38EE3BC7"/>
    <w:rsid w:val="390A6B80"/>
    <w:rsid w:val="39A131D7"/>
    <w:rsid w:val="39B54980"/>
    <w:rsid w:val="39D96AA7"/>
    <w:rsid w:val="39DF3CFF"/>
    <w:rsid w:val="39ED2759"/>
    <w:rsid w:val="3A2133F1"/>
    <w:rsid w:val="3A2B123E"/>
    <w:rsid w:val="3A3A4107"/>
    <w:rsid w:val="3AB945C2"/>
    <w:rsid w:val="3AE0388B"/>
    <w:rsid w:val="3B734364"/>
    <w:rsid w:val="3B771B98"/>
    <w:rsid w:val="3B9904A3"/>
    <w:rsid w:val="3BBA2AA9"/>
    <w:rsid w:val="3BC65F01"/>
    <w:rsid w:val="3BDF1D94"/>
    <w:rsid w:val="3C0A1D12"/>
    <w:rsid w:val="3C271558"/>
    <w:rsid w:val="3C3B1DED"/>
    <w:rsid w:val="3C462887"/>
    <w:rsid w:val="3C6C15A6"/>
    <w:rsid w:val="3C7F6285"/>
    <w:rsid w:val="3D2F7E4F"/>
    <w:rsid w:val="3D6B2D02"/>
    <w:rsid w:val="3DD55678"/>
    <w:rsid w:val="3DE62064"/>
    <w:rsid w:val="3DEB7460"/>
    <w:rsid w:val="3E684DD0"/>
    <w:rsid w:val="3E6C5EBB"/>
    <w:rsid w:val="3E7C7D6E"/>
    <w:rsid w:val="3E9941FE"/>
    <w:rsid w:val="3EBE60BD"/>
    <w:rsid w:val="3EC21132"/>
    <w:rsid w:val="3ED74FA5"/>
    <w:rsid w:val="3EFF4BF7"/>
    <w:rsid w:val="3F095B1C"/>
    <w:rsid w:val="3F324604"/>
    <w:rsid w:val="3F6E7E89"/>
    <w:rsid w:val="3F712D93"/>
    <w:rsid w:val="3FAB03D3"/>
    <w:rsid w:val="3FAC7E2E"/>
    <w:rsid w:val="3FAE3F57"/>
    <w:rsid w:val="3FB915A2"/>
    <w:rsid w:val="3FC90D91"/>
    <w:rsid w:val="3FEB51AC"/>
    <w:rsid w:val="40095E69"/>
    <w:rsid w:val="40111AE2"/>
    <w:rsid w:val="402E1910"/>
    <w:rsid w:val="40584D60"/>
    <w:rsid w:val="409B0937"/>
    <w:rsid w:val="409F477B"/>
    <w:rsid w:val="40B73E56"/>
    <w:rsid w:val="40F34561"/>
    <w:rsid w:val="411542E5"/>
    <w:rsid w:val="413B3415"/>
    <w:rsid w:val="41617E53"/>
    <w:rsid w:val="418471F8"/>
    <w:rsid w:val="41980E6E"/>
    <w:rsid w:val="419D24D5"/>
    <w:rsid w:val="41E701AC"/>
    <w:rsid w:val="420B0DC8"/>
    <w:rsid w:val="42173276"/>
    <w:rsid w:val="421E0BE0"/>
    <w:rsid w:val="42313074"/>
    <w:rsid w:val="426F6FAB"/>
    <w:rsid w:val="427C7CF9"/>
    <w:rsid w:val="42A64609"/>
    <w:rsid w:val="42B52182"/>
    <w:rsid w:val="42BA6A6F"/>
    <w:rsid w:val="42E4416A"/>
    <w:rsid w:val="43100D9D"/>
    <w:rsid w:val="43131639"/>
    <w:rsid w:val="431840BE"/>
    <w:rsid w:val="43451F96"/>
    <w:rsid w:val="437A1FF5"/>
    <w:rsid w:val="43947908"/>
    <w:rsid w:val="43B768DC"/>
    <w:rsid w:val="43D25A64"/>
    <w:rsid w:val="44250D6D"/>
    <w:rsid w:val="445864C7"/>
    <w:rsid w:val="447438A7"/>
    <w:rsid w:val="44907BE2"/>
    <w:rsid w:val="44E22C3B"/>
    <w:rsid w:val="45016421"/>
    <w:rsid w:val="45276148"/>
    <w:rsid w:val="453D2611"/>
    <w:rsid w:val="453D74D5"/>
    <w:rsid w:val="45417AA0"/>
    <w:rsid w:val="455A4CAD"/>
    <w:rsid w:val="4562631C"/>
    <w:rsid w:val="46136FA1"/>
    <w:rsid w:val="463B2A6B"/>
    <w:rsid w:val="466C06C8"/>
    <w:rsid w:val="467E6C5F"/>
    <w:rsid w:val="4692147F"/>
    <w:rsid w:val="46D77E23"/>
    <w:rsid w:val="46EE37D3"/>
    <w:rsid w:val="46FA305B"/>
    <w:rsid w:val="47121270"/>
    <w:rsid w:val="478331B9"/>
    <w:rsid w:val="47AC6F8B"/>
    <w:rsid w:val="47C702AC"/>
    <w:rsid w:val="47FB1D04"/>
    <w:rsid w:val="48094E1B"/>
    <w:rsid w:val="481B23A6"/>
    <w:rsid w:val="481B5E91"/>
    <w:rsid w:val="48411CFF"/>
    <w:rsid w:val="48A932F3"/>
    <w:rsid w:val="48AA233E"/>
    <w:rsid w:val="48C334E9"/>
    <w:rsid w:val="48D32F76"/>
    <w:rsid w:val="48E0229A"/>
    <w:rsid w:val="48FD385A"/>
    <w:rsid w:val="493A685C"/>
    <w:rsid w:val="497B39E0"/>
    <w:rsid w:val="49B43028"/>
    <w:rsid w:val="49D40A5E"/>
    <w:rsid w:val="4A582058"/>
    <w:rsid w:val="4A695377"/>
    <w:rsid w:val="4A8E09B1"/>
    <w:rsid w:val="4AA00FFA"/>
    <w:rsid w:val="4AA42177"/>
    <w:rsid w:val="4AB84AB6"/>
    <w:rsid w:val="4ACF60AC"/>
    <w:rsid w:val="4AF83E2D"/>
    <w:rsid w:val="4AFF0E09"/>
    <w:rsid w:val="4B16790A"/>
    <w:rsid w:val="4B1C14D0"/>
    <w:rsid w:val="4B1C63FA"/>
    <w:rsid w:val="4B7B3F78"/>
    <w:rsid w:val="4B9B4947"/>
    <w:rsid w:val="4BE771FF"/>
    <w:rsid w:val="4C0724C6"/>
    <w:rsid w:val="4C593B7F"/>
    <w:rsid w:val="4C5D7DA3"/>
    <w:rsid w:val="4C763516"/>
    <w:rsid w:val="4C7F5B6C"/>
    <w:rsid w:val="4C7F719A"/>
    <w:rsid w:val="4CB820CF"/>
    <w:rsid w:val="4CC317DB"/>
    <w:rsid w:val="4CFA5361"/>
    <w:rsid w:val="4D3319B2"/>
    <w:rsid w:val="4D423CEF"/>
    <w:rsid w:val="4D4D3536"/>
    <w:rsid w:val="4D722434"/>
    <w:rsid w:val="4DD04FF2"/>
    <w:rsid w:val="4DD501AA"/>
    <w:rsid w:val="4DDA23BB"/>
    <w:rsid w:val="4DDE26D8"/>
    <w:rsid w:val="4E1D12EF"/>
    <w:rsid w:val="4E36314B"/>
    <w:rsid w:val="4E3701F4"/>
    <w:rsid w:val="4E8D6732"/>
    <w:rsid w:val="4EA257B3"/>
    <w:rsid w:val="4EB15F74"/>
    <w:rsid w:val="4EE651B6"/>
    <w:rsid w:val="4EF65286"/>
    <w:rsid w:val="4EFB0C4C"/>
    <w:rsid w:val="4F010DC1"/>
    <w:rsid w:val="4F08556C"/>
    <w:rsid w:val="4F6C34CC"/>
    <w:rsid w:val="4F8F673D"/>
    <w:rsid w:val="4FC77EF9"/>
    <w:rsid w:val="4FD6000B"/>
    <w:rsid w:val="50200995"/>
    <w:rsid w:val="505B00AD"/>
    <w:rsid w:val="50614943"/>
    <w:rsid w:val="50734954"/>
    <w:rsid w:val="507F6FFB"/>
    <w:rsid w:val="508D1AC3"/>
    <w:rsid w:val="50A302D1"/>
    <w:rsid w:val="50A6066D"/>
    <w:rsid w:val="50A84CD3"/>
    <w:rsid w:val="50D94805"/>
    <w:rsid w:val="50E03575"/>
    <w:rsid w:val="50EC3FE1"/>
    <w:rsid w:val="512A4392"/>
    <w:rsid w:val="51D7040A"/>
    <w:rsid w:val="51FB0A7C"/>
    <w:rsid w:val="521F448D"/>
    <w:rsid w:val="524B1572"/>
    <w:rsid w:val="524C488A"/>
    <w:rsid w:val="525F06C8"/>
    <w:rsid w:val="52686530"/>
    <w:rsid w:val="52716CAD"/>
    <w:rsid w:val="531D2DDB"/>
    <w:rsid w:val="532742F5"/>
    <w:rsid w:val="532A360F"/>
    <w:rsid w:val="532F2B28"/>
    <w:rsid w:val="53AF54A3"/>
    <w:rsid w:val="53B24F9E"/>
    <w:rsid w:val="53F266B1"/>
    <w:rsid w:val="53F754DB"/>
    <w:rsid w:val="53FB67CD"/>
    <w:rsid w:val="5406350B"/>
    <w:rsid w:val="546D7169"/>
    <w:rsid w:val="54910D82"/>
    <w:rsid w:val="549573D3"/>
    <w:rsid w:val="54E16725"/>
    <w:rsid w:val="54E224BC"/>
    <w:rsid w:val="54F473E1"/>
    <w:rsid w:val="551D3756"/>
    <w:rsid w:val="553379E0"/>
    <w:rsid w:val="55455D8C"/>
    <w:rsid w:val="55951EE4"/>
    <w:rsid w:val="55952A32"/>
    <w:rsid w:val="55E97700"/>
    <w:rsid w:val="55FA7A9F"/>
    <w:rsid w:val="563F167C"/>
    <w:rsid w:val="567C6706"/>
    <w:rsid w:val="569972B8"/>
    <w:rsid w:val="57241115"/>
    <w:rsid w:val="57523381"/>
    <w:rsid w:val="576E58A2"/>
    <w:rsid w:val="579013FA"/>
    <w:rsid w:val="579F05E3"/>
    <w:rsid w:val="57A06693"/>
    <w:rsid w:val="57D333EF"/>
    <w:rsid w:val="57F54C12"/>
    <w:rsid w:val="58B45B82"/>
    <w:rsid w:val="58BD18D8"/>
    <w:rsid w:val="58CE405A"/>
    <w:rsid w:val="58E60161"/>
    <w:rsid w:val="594352B9"/>
    <w:rsid w:val="59681BF3"/>
    <w:rsid w:val="59990F0D"/>
    <w:rsid w:val="59BC2DFB"/>
    <w:rsid w:val="59C137EF"/>
    <w:rsid w:val="59F52EB6"/>
    <w:rsid w:val="5A9543EF"/>
    <w:rsid w:val="5AA4447D"/>
    <w:rsid w:val="5ACC5195"/>
    <w:rsid w:val="5AE23007"/>
    <w:rsid w:val="5AE57D65"/>
    <w:rsid w:val="5B251E86"/>
    <w:rsid w:val="5B6A1223"/>
    <w:rsid w:val="5B834BF1"/>
    <w:rsid w:val="5B9E4BDA"/>
    <w:rsid w:val="5BD97373"/>
    <w:rsid w:val="5C0F0DF4"/>
    <w:rsid w:val="5C2C0286"/>
    <w:rsid w:val="5C7047CC"/>
    <w:rsid w:val="5C73635A"/>
    <w:rsid w:val="5C843B81"/>
    <w:rsid w:val="5CB17549"/>
    <w:rsid w:val="5CB736EB"/>
    <w:rsid w:val="5CB858CB"/>
    <w:rsid w:val="5CC11EAF"/>
    <w:rsid w:val="5CDA6DF4"/>
    <w:rsid w:val="5CF24859"/>
    <w:rsid w:val="5CFE757D"/>
    <w:rsid w:val="5D296EBB"/>
    <w:rsid w:val="5D4A4DFA"/>
    <w:rsid w:val="5D835FC9"/>
    <w:rsid w:val="5D943200"/>
    <w:rsid w:val="5DA168F8"/>
    <w:rsid w:val="5DC76ADE"/>
    <w:rsid w:val="5DFA63C0"/>
    <w:rsid w:val="5E137F3E"/>
    <w:rsid w:val="5E6B2AA0"/>
    <w:rsid w:val="5EC155FD"/>
    <w:rsid w:val="5F27153C"/>
    <w:rsid w:val="5F322B9A"/>
    <w:rsid w:val="5F603D0C"/>
    <w:rsid w:val="5F6E37CB"/>
    <w:rsid w:val="5F7C5773"/>
    <w:rsid w:val="5F994F90"/>
    <w:rsid w:val="5FA40449"/>
    <w:rsid w:val="5FAF18FA"/>
    <w:rsid w:val="5FD227D2"/>
    <w:rsid w:val="5FE62499"/>
    <w:rsid w:val="5FFD57A6"/>
    <w:rsid w:val="602D281F"/>
    <w:rsid w:val="604C1FB5"/>
    <w:rsid w:val="60A24FBB"/>
    <w:rsid w:val="60DC12AC"/>
    <w:rsid w:val="60F15080"/>
    <w:rsid w:val="6101743F"/>
    <w:rsid w:val="6129167C"/>
    <w:rsid w:val="61B541E9"/>
    <w:rsid w:val="61BE5E24"/>
    <w:rsid w:val="61DE6B09"/>
    <w:rsid w:val="61E24841"/>
    <w:rsid w:val="61F752A4"/>
    <w:rsid w:val="62044DAD"/>
    <w:rsid w:val="62167E64"/>
    <w:rsid w:val="629E7A04"/>
    <w:rsid w:val="62B541FA"/>
    <w:rsid w:val="62E74F68"/>
    <w:rsid w:val="63867173"/>
    <w:rsid w:val="63931232"/>
    <w:rsid w:val="63A128CC"/>
    <w:rsid w:val="63F06720"/>
    <w:rsid w:val="64100921"/>
    <w:rsid w:val="644210FE"/>
    <w:rsid w:val="64505BAA"/>
    <w:rsid w:val="64603145"/>
    <w:rsid w:val="64690AF6"/>
    <w:rsid w:val="64695B2D"/>
    <w:rsid w:val="646B5D19"/>
    <w:rsid w:val="647276A1"/>
    <w:rsid w:val="648D5F82"/>
    <w:rsid w:val="64E060B2"/>
    <w:rsid w:val="64EB2DA2"/>
    <w:rsid w:val="64ED07CF"/>
    <w:rsid w:val="64F43287"/>
    <w:rsid w:val="653E0A34"/>
    <w:rsid w:val="654020AF"/>
    <w:rsid w:val="657149EE"/>
    <w:rsid w:val="657770E1"/>
    <w:rsid w:val="65D13A49"/>
    <w:rsid w:val="65F42CCC"/>
    <w:rsid w:val="6607057A"/>
    <w:rsid w:val="66300D6A"/>
    <w:rsid w:val="66650578"/>
    <w:rsid w:val="6680306E"/>
    <w:rsid w:val="668C020C"/>
    <w:rsid w:val="66B43C9A"/>
    <w:rsid w:val="66BA1AED"/>
    <w:rsid w:val="66EF082E"/>
    <w:rsid w:val="67220E4E"/>
    <w:rsid w:val="67463DAF"/>
    <w:rsid w:val="674848E9"/>
    <w:rsid w:val="674B4138"/>
    <w:rsid w:val="6784541A"/>
    <w:rsid w:val="67977D8E"/>
    <w:rsid w:val="67AD0725"/>
    <w:rsid w:val="67B502FC"/>
    <w:rsid w:val="67B63A9B"/>
    <w:rsid w:val="67B92E70"/>
    <w:rsid w:val="67D7778A"/>
    <w:rsid w:val="67E84E20"/>
    <w:rsid w:val="68057461"/>
    <w:rsid w:val="681F65EC"/>
    <w:rsid w:val="686B620E"/>
    <w:rsid w:val="687D2C6B"/>
    <w:rsid w:val="687F5486"/>
    <w:rsid w:val="688B0A2A"/>
    <w:rsid w:val="688C16BC"/>
    <w:rsid w:val="68983B18"/>
    <w:rsid w:val="68FF0055"/>
    <w:rsid w:val="693710DE"/>
    <w:rsid w:val="693F595F"/>
    <w:rsid w:val="694015B6"/>
    <w:rsid w:val="69484BB2"/>
    <w:rsid w:val="69767FB8"/>
    <w:rsid w:val="698A4E23"/>
    <w:rsid w:val="699024A8"/>
    <w:rsid w:val="69947783"/>
    <w:rsid w:val="69C36246"/>
    <w:rsid w:val="69D31476"/>
    <w:rsid w:val="6A6D2359"/>
    <w:rsid w:val="6A8F4802"/>
    <w:rsid w:val="6B1C765E"/>
    <w:rsid w:val="6B246352"/>
    <w:rsid w:val="6B362ECF"/>
    <w:rsid w:val="6B3D182E"/>
    <w:rsid w:val="6B501272"/>
    <w:rsid w:val="6B7831E8"/>
    <w:rsid w:val="6B7F53A0"/>
    <w:rsid w:val="6B9D4BAF"/>
    <w:rsid w:val="6BB5675A"/>
    <w:rsid w:val="6BD91AE2"/>
    <w:rsid w:val="6BF77196"/>
    <w:rsid w:val="6C175A98"/>
    <w:rsid w:val="6C2016E7"/>
    <w:rsid w:val="6C345734"/>
    <w:rsid w:val="6C6E25E5"/>
    <w:rsid w:val="6C704790"/>
    <w:rsid w:val="6C7C31D1"/>
    <w:rsid w:val="6C7F1300"/>
    <w:rsid w:val="6CA40AB0"/>
    <w:rsid w:val="6CC56A5C"/>
    <w:rsid w:val="6CCE1E7D"/>
    <w:rsid w:val="6CDC285C"/>
    <w:rsid w:val="6CE1330F"/>
    <w:rsid w:val="6CF72EDD"/>
    <w:rsid w:val="6D594072"/>
    <w:rsid w:val="6D6B7249"/>
    <w:rsid w:val="6D761C76"/>
    <w:rsid w:val="6D7F7D7D"/>
    <w:rsid w:val="6DA64500"/>
    <w:rsid w:val="6DC02707"/>
    <w:rsid w:val="6DC9630D"/>
    <w:rsid w:val="6DCD4B4B"/>
    <w:rsid w:val="6E2B64EF"/>
    <w:rsid w:val="6E80139D"/>
    <w:rsid w:val="6E846891"/>
    <w:rsid w:val="6ED44ED9"/>
    <w:rsid w:val="6ED5535F"/>
    <w:rsid w:val="6EDD1716"/>
    <w:rsid w:val="6F2C6734"/>
    <w:rsid w:val="6F9938FE"/>
    <w:rsid w:val="6FCA09D4"/>
    <w:rsid w:val="701E5067"/>
    <w:rsid w:val="70582E02"/>
    <w:rsid w:val="70FF1890"/>
    <w:rsid w:val="712F3B53"/>
    <w:rsid w:val="714E0696"/>
    <w:rsid w:val="71542301"/>
    <w:rsid w:val="71B93DD6"/>
    <w:rsid w:val="71CC2B3B"/>
    <w:rsid w:val="71D96142"/>
    <w:rsid w:val="72082E31"/>
    <w:rsid w:val="721A0805"/>
    <w:rsid w:val="722A1E40"/>
    <w:rsid w:val="727177C1"/>
    <w:rsid w:val="727E6055"/>
    <w:rsid w:val="72930C07"/>
    <w:rsid w:val="72CE7E91"/>
    <w:rsid w:val="72E10AD3"/>
    <w:rsid w:val="731E5A13"/>
    <w:rsid w:val="734F0507"/>
    <w:rsid w:val="73B13982"/>
    <w:rsid w:val="73D55BEE"/>
    <w:rsid w:val="741174DC"/>
    <w:rsid w:val="74536FF7"/>
    <w:rsid w:val="74844181"/>
    <w:rsid w:val="74F10FB1"/>
    <w:rsid w:val="75136C33"/>
    <w:rsid w:val="75B530BD"/>
    <w:rsid w:val="75BF1E57"/>
    <w:rsid w:val="75C33E8A"/>
    <w:rsid w:val="75CA161B"/>
    <w:rsid w:val="75FC545D"/>
    <w:rsid w:val="76051E1C"/>
    <w:rsid w:val="760F7AF5"/>
    <w:rsid w:val="76324CD3"/>
    <w:rsid w:val="764250E2"/>
    <w:rsid w:val="76590A64"/>
    <w:rsid w:val="76C353E0"/>
    <w:rsid w:val="76CA0970"/>
    <w:rsid w:val="76E216FA"/>
    <w:rsid w:val="771F0CBB"/>
    <w:rsid w:val="772406A0"/>
    <w:rsid w:val="772B5FD5"/>
    <w:rsid w:val="772E16B0"/>
    <w:rsid w:val="77801DC9"/>
    <w:rsid w:val="77806913"/>
    <w:rsid w:val="77892A1A"/>
    <w:rsid w:val="7812485D"/>
    <w:rsid w:val="7851759A"/>
    <w:rsid w:val="78571967"/>
    <w:rsid w:val="78750A71"/>
    <w:rsid w:val="78AE11ED"/>
    <w:rsid w:val="78C24950"/>
    <w:rsid w:val="78CC2F43"/>
    <w:rsid w:val="790939D1"/>
    <w:rsid w:val="795408BB"/>
    <w:rsid w:val="795506F4"/>
    <w:rsid w:val="799E0131"/>
    <w:rsid w:val="79A1718D"/>
    <w:rsid w:val="79A62A6D"/>
    <w:rsid w:val="79E412F4"/>
    <w:rsid w:val="7A106606"/>
    <w:rsid w:val="7A1C773B"/>
    <w:rsid w:val="7A445645"/>
    <w:rsid w:val="7A770321"/>
    <w:rsid w:val="7AB86A00"/>
    <w:rsid w:val="7ADF6E27"/>
    <w:rsid w:val="7AEA5A84"/>
    <w:rsid w:val="7AF50C82"/>
    <w:rsid w:val="7B0C2EEC"/>
    <w:rsid w:val="7B48796B"/>
    <w:rsid w:val="7B4E7DC1"/>
    <w:rsid w:val="7B53475A"/>
    <w:rsid w:val="7B96209F"/>
    <w:rsid w:val="7BAF6CF2"/>
    <w:rsid w:val="7BB112EF"/>
    <w:rsid w:val="7BDE35F3"/>
    <w:rsid w:val="7BE71355"/>
    <w:rsid w:val="7C006989"/>
    <w:rsid w:val="7C03604C"/>
    <w:rsid w:val="7C062FA5"/>
    <w:rsid w:val="7C105077"/>
    <w:rsid w:val="7C1A4147"/>
    <w:rsid w:val="7C324FED"/>
    <w:rsid w:val="7C34263D"/>
    <w:rsid w:val="7C452E58"/>
    <w:rsid w:val="7C7A6994"/>
    <w:rsid w:val="7CBD7B0B"/>
    <w:rsid w:val="7CC8219B"/>
    <w:rsid w:val="7D081010"/>
    <w:rsid w:val="7D372492"/>
    <w:rsid w:val="7D5F17E6"/>
    <w:rsid w:val="7DAF3C2E"/>
    <w:rsid w:val="7DB14971"/>
    <w:rsid w:val="7DB57EAA"/>
    <w:rsid w:val="7DE72FAB"/>
    <w:rsid w:val="7DF02664"/>
    <w:rsid w:val="7E0E25EF"/>
    <w:rsid w:val="7E1859FE"/>
    <w:rsid w:val="7E2272E3"/>
    <w:rsid w:val="7E307889"/>
    <w:rsid w:val="7E3B3FDB"/>
    <w:rsid w:val="7E453E40"/>
    <w:rsid w:val="7E7B3986"/>
    <w:rsid w:val="7EA06B86"/>
    <w:rsid w:val="7EA321D2"/>
    <w:rsid w:val="7EC136D9"/>
    <w:rsid w:val="7ED4227B"/>
    <w:rsid w:val="7EE80038"/>
    <w:rsid w:val="7F05517F"/>
    <w:rsid w:val="7F3C6183"/>
    <w:rsid w:val="7F6D4A3C"/>
    <w:rsid w:val="7F700524"/>
    <w:rsid w:val="7F71219D"/>
    <w:rsid w:val="7FAF3D47"/>
    <w:rsid w:val="7FD65892"/>
    <w:rsid w:val="7FD906A0"/>
    <w:rsid w:val="7FE55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after="120" w:line="276" w:lineRule="auto"/>
      <w:jc w:val="both"/>
    </w:pPr>
    <w:rPr>
      <w:rFonts w:ascii="Times New Roman" w:hAnsi="Times New Roman" w:eastAsia="Times New Roman" w:cs="Times New Roman"/>
      <w:sz w:val="22"/>
      <w:szCs w:val="22"/>
      <w:lang w:val="en" w:eastAsia="en-US" w:bidi="ar-SA"/>
    </w:rPr>
  </w:style>
  <w:style w:type="paragraph" w:styleId="2">
    <w:name w:val="heading 1"/>
    <w:basedOn w:val="1"/>
    <w:next w:val="1"/>
    <w:qFormat/>
    <w:uiPriority w:val="0"/>
    <w:pPr>
      <w:keepNext/>
      <w:keepLines/>
      <w:spacing w:before="400"/>
      <w:outlineLvl w:val="0"/>
    </w:pPr>
    <w:rPr>
      <w:sz w:val="40"/>
      <w:szCs w:val="40"/>
    </w:rPr>
  </w:style>
  <w:style w:type="paragraph" w:styleId="3">
    <w:name w:val="heading 2"/>
    <w:basedOn w:val="1"/>
    <w:next w:val="1"/>
    <w:qFormat/>
    <w:uiPriority w:val="0"/>
    <w:pPr>
      <w:keepNext/>
      <w:keepLines/>
      <w:spacing w:before="360"/>
      <w:outlineLvl w:val="1"/>
    </w:pPr>
    <w:rPr>
      <w:b/>
      <w:sz w:val="32"/>
      <w:szCs w:val="32"/>
    </w:rPr>
  </w:style>
  <w:style w:type="paragraph" w:styleId="4">
    <w:name w:val="heading 3"/>
    <w:basedOn w:val="1"/>
    <w:next w:val="1"/>
    <w:qFormat/>
    <w:uiPriority w:val="0"/>
    <w:pPr>
      <w:keepNext/>
      <w:keepLines/>
      <w:spacing w:before="320" w:after="80"/>
      <w:outlineLvl w:val="2"/>
    </w:pPr>
    <w:rPr>
      <w:b/>
      <w:sz w:val="28"/>
      <w:szCs w:val="28"/>
    </w:rPr>
  </w:style>
  <w:style w:type="paragraph" w:styleId="5">
    <w:name w:val="heading 4"/>
    <w:basedOn w:val="1"/>
    <w:next w:val="1"/>
    <w:qFormat/>
    <w:uiPriority w:val="0"/>
    <w:pPr>
      <w:keepNext/>
      <w:keepLines/>
      <w:spacing w:before="280" w:after="80"/>
      <w:outlineLvl w:val="3"/>
    </w:pPr>
    <w:rPr>
      <w:b/>
      <w:i/>
      <w:sz w:val="24"/>
      <w:szCs w:val="24"/>
    </w:rPr>
  </w:style>
  <w:style w:type="paragraph" w:styleId="6">
    <w:name w:val="heading 5"/>
    <w:basedOn w:val="1"/>
    <w:next w:val="1"/>
    <w:qFormat/>
    <w:uiPriority w:val="0"/>
    <w:pPr>
      <w:keepNext/>
      <w:keepLines/>
      <w:spacing w:before="240" w:after="80"/>
      <w:outlineLvl w:val="4"/>
    </w:pPr>
    <w:rPr>
      <w:i/>
    </w:rPr>
  </w:style>
  <w:style w:type="paragraph" w:styleId="7">
    <w:name w:val="heading 6"/>
    <w:basedOn w:val="1"/>
    <w:next w:val="1"/>
    <w:qFormat/>
    <w:uiPriority w:val="0"/>
    <w:pPr>
      <w:keepNext/>
      <w:keepLines/>
      <w:spacing w:before="240" w:after="80"/>
      <w:outlineLvl w:val="5"/>
    </w:pPr>
    <w:rPr>
      <w:i/>
      <w:color w:val="666666"/>
    </w:rPr>
  </w:style>
  <w:style w:type="paragraph" w:styleId="8">
    <w:name w:val="heading 7"/>
    <w:basedOn w:val="1"/>
    <w:next w:val="1"/>
    <w:unhideWhenUsed/>
    <w:qFormat/>
    <w:uiPriority w:val="9"/>
    <w:pPr>
      <w:keepNext/>
      <w:keepLines/>
      <w:spacing w:before="240" w:after="64" w:line="320" w:lineRule="auto"/>
      <w:outlineLvl w:val="6"/>
    </w:pPr>
    <w:rPr>
      <w:b/>
      <w:bCs/>
      <w:sz w:val="24"/>
      <w:szCs w:val="24"/>
    </w:rPr>
  </w:style>
  <w:style w:type="character" w:default="1" w:styleId="9">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character" w:styleId="11">
    <w:name w:val="Emphasis"/>
    <w:basedOn w:val="9"/>
    <w:qFormat/>
    <w:uiPriority w:val="20"/>
    <w:rPr>
      <w:i/>
      <w:iCs/>
    </w:rPr>
  </w:style>
  <w:style w:type="character" w:styleId="12">
    <w:name w:val="FollowedHyperlink"/>
    <w:basedOn w:val="9"/>
    <w:semiHidden/>
    <w:unhideWhenUsed/>
    <w:qFormat/>
    <w:uiPriority w:val="99"/>
    <w:rPr>
      <w:color w:val="800080"/>
      <w:u w:val="single"/>
    </w:rPr>
  </w:style>
  <w:style w:type="paragraph" w:styleId="13">
    <w:name w:val="footer"/>
    <w:basedOn w:val="1"/>
    <w:link w:val="24"/>
    <w:unhideWhenUsed/>
    <w:qFormat/>
    <w:uiPriority w:val="99"/>
    <w:pPr>
      <w:tabs>
        <w:tab w:val="center" w:pos="4513"/>
        <w:tab w:val="right" w:pos="9026"/>
      </w:tabs>
      <w:spacing w:after="0" w:line="240" w:lineRule="auto"/>
    </w:pPr>
  </w:style>
  <w:style w:type="paragraph" w:styleId="14">
    <w:name w:val="header"/>
    <w:basedOn w:val="1"/>
    <w:link w:val="23"/>
    <w:unhideWhenUsed/>
    <w:qFormat/>
    <w:uiPriority w:val="99"/>
    <w:pPr>
      <w:tabs>
        <w:tab w:val="center" w:pos="4513"/>
        <w:tab w:val="right" w:pos="9026"/>
      </w:tabs>
      <w:spacing w:after="0" w:line="240" w:lineRule="auto"/>
    </w:pPr>
  </w:style>
  <w:style w:type="character" w:styleId="15">
    <w:name w:val="Hyperlink"/>
    <w:basedOn w:val="9"/>
    <w:semiHidden/>
    <w:unhideWhenUsed/>
    <w:qFormat/>
    <w:uiPriority w:val="99"/>
    <w:rPr>
      <w:color w:val="0000FF"/>
      <w:u w:val="single"/>
    </w:rPr>
  </w:style>
  <w:style w:type="paragraph" w:styleId="16">
    <w:name w:val="Normal (Web)"/>
    <w:basedOn w:val="1"/>
    <w:semiHidden/>
    <w:unhideWhenUsed/>
    <w:qFormat/>
    <w:uiPriority w:val="99"/>
    <w:pPr>
      <w:spacing w:beforeAutospacing="1" w:after="0" w:afterAutospacing="1"/>
      <w:jc w:val="left"/>
    </w:pPr>
    <w:rPr>
      <w:rFonts w:eastAsia="SimSun"/>
      <w:sz w:val="24"/>
      <w:szCs w:val="24"/>
      <w:lang w:val="en-US" w:eastAsia="zh-CN"/>
    </w:rPr>
  </w:style>
  <w:style w:type="character" w:styleId="17">
    <w:name w:val="Strong"/>
    <w:basedOn w:val="9"/>
    <w:qFormat/>
    <w:uiPriority w:val="22"/>
    <w:rPr>
      <w:b/>
      <w:bCs/>
    </w:rPr>
  </w:style>
  <w:style w:type="paragraph" w:styleId="18">
    <w:name w:val="Subtitle"/>
    <w:basedOn w:val="1"/>
    <w:next w:val="1"/>
    <w:qFormat/>
    <w:uiPriority w:val="0"/>
    <w:pPr>
      <w:keepNext/>
      <w:keepLines/>
      <w:spacing w:after="320"/>
    </w:pPr>
    <w:rPr>
      <w:rFonts w:ascii="Arial" w:hAnsi="Arial" w:eastAsia="Arial" w:cs="Arial"/>
      <w:color w:val="666666"/>
      <w:sz w:val="30"/>
      <w:szCs w:val="30"/>
    </w:rPr>
  </w:style>
  <w:style w:type="table" w:styleId="19">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next w:val="1"/>
    <w:qFormat/>
    <w:uiPriority w:val="0"/>
    <w:pPr>
      <w:keepNext/>
      <w:keepLines/>
      <w:spacing w:after="60"/>
    </w:pPr>
    <w:rPr>
      <w:sz w:val="52"/>
      <w:szCs w:val="52"/>
    </w:rPr>
  </w:style>
  <w:style w:type="table" w:customStyle="1" w:styleId="21">
    <w:name w:val="_Style 11"/>
    <w:basedOn w:val="10"/>
    <w:qFormat/>
    <w:uiPriority w:val="0"/>
    <w:tblPr>
      <w:tblCellMar>
        <w:top w:w="100" w:type="dxa"/>
        <w:left w:w="100" w:type="dxa"/>
        <w:bottom w:w="100" w:type="dxa"/>
        <w:right w:w="100" w:type="dxa"/>
      </w:tblCellMar>
    </w:tblPr>
  </w:style>
  <w:style w:type="table" w:customStyle="1" w:styleId="22">
    <w:name w:val="_Style 12"/>
    <w:basedOn w:val="10"/>
    <w:qFormat/>
    <w:uiPriority w:val="0"/>
    <w:tblPr>
      <w:tblCellMar>
        <w:top w:w="100" w:type="dxa"/>
        <w:left w:w="100" w:type="dxa"/>
        <w:bottom w:w="100" w:type="dxa"/>
        <w:right w:w="100" w:type="dxa"/>
      </w:tblCellMar>
    </w:tblPr>
  </w:style>
  <w:style w:type="character" w:customStyle="1" w:styleId="23">
    <w:name w:val="Header Char"/>
    <w:basedOn w:val="9"/>
    <w:link w:val="14"/>
    <w:qFormat/>
    <w:uiPriority w:val="99"/>
  </w:style>
  <w:style w:type="character" w:customStyle="1" w:styleId="24">
    <w:name w:val="Footer Char"/>
    <w:basedOn w:val="9"/>
    <w:link w:val="13"/>
    <w:qFormat/>
    <w:uiPriority w:val="99"/>
  </w:style>
  <w:style w:type="paragraph" w:customStyle="1" w:styleId="25">
    <w:name w:val="Default"/>
    <w:qFormat/>
    <w:uiPriority w:val="0"/>
    <w:pPr>
      <w:autoSpaceDE w:val="0"/>
      <w:autoSpaceDN w:val="0"/>
      <w:adjustRightInd w:val="0"/>
    </w:pPr>
    <w:rPr>
      <w:rFonts w:ascii="Times New Roman" w:hAnsi="Times New Roman" w:cs="Times New Roman" w:eastAsiaTheme="minorHAnsi"/>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13</Pages>
  <Words>3850</Words>
  <Characters>24372</Characters>
  <Lines>213</Lines>
  <Paragraphs>59</Paragraphs>
  <TotalTime>41</TotalTime>
  <ScaleCrop>false</ScaleCrop>
  <LinksUpToDate>false</LinksUpToDate>
  <CharactersWithSpaces>28010</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2022-11-23T19:08:00Z</dcterms:created>
  <dc:creator>Raju</dc:creator>
  <cp:lastModifiedBy>Md Mehedy Hasan Miraz</cp:lastModifiedBy>
  <dcterms:modified xsi:type="dcterms:W3CDTF">2023-04-19T07:30:38Z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617B26CB5CF1457CB8435FB2FB537970</vt:lpwstr>
  </property>
</Properties>
</file>