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62A" w14:textId="77777777" w:rsidR="00843EB8" w:rsidRPr="00BE33F4" w:rsidRDefault="00843EB8" w:rsidP="00843EB8">
      <w:pPr>
        <w:spacing w:after="0"/>
        <w:ind w:right="-108"/>
        <w:rPr>
          <w:rFonts w:ascii="Times New Roman" w:hAnsi="Times New Roman" w:cs="Times New Roman"/>
          <w:b/>
          <w:sz w:val="24"/>
          <w:szCs w:val="24"/>
        </w:rPr>
      </w:pPr>
      <w:r w:rsidRPr="00BE33F4">
        <w:rPr>
          <w:rFonts w:ascii="Times New Roman" w:hAnsi="Times New Roman" w:cs="Times New Roman"/>
          <w:b/>
          <w:sz w:val="24"/>
          <w:szCs w:val="24"/>
        </w:rPr>
        <w:t>Article</w:t>
      </w:r>
    </w:p>
    <w:p w14:paraId="31C06D8F" w14:textId="77777777" w:rsidR="00843EB8" w:rsidRPr="005D60F8" w:rsidRDefault="00843EB8" w:rsidP="00843EB8">
      <w:pPr>
        <w:spacing w:after="0" w:line="240" w:lineRule="auto"/>
        <w:jc w:val="center"/>
        <w:rPr>
          <w:rFonts w:ascii="BreveNews-Black" w:hAnsi="BreveNews-Black"/>
          <w:b/>
          <w:color w:val="000000" w:themeColor="text1"/>
          <w:sz w:val="40"/>
          <w:szCs w:val="40"/>
        </w:rPr>
      </w:pPr>
      <w:r w:rsidRPr="005D60F8">
        <w:rPr>
          <w:rFonts w:ascii="BreveNews-Black" w:hAnsi="BreveNews-Black" w:cs="Times New Roman"/>
          <w:bCs/>
          <w:sz w:val="40"/>
          <w:szCs w:val="40"/>
        </w:rPr>
        <w:t xml:space="preserve">Comparative </w:t>
      </w:r>
      <w:r w:rsidRPr="005D60F8">
        <w:rPr>
          <w:rFonts w:ascii="BreveNews-Black" w:hAnsi="BreveNews-Black"/>
          <w:b/>
          <w:color w:val="000000" w:themeColor="text1"/>
          <w:sz w:val="40"/>
          <w:szCs w:val="40"/>
        </w:rPr>
        <w:t>Clinical management, treatment pattern and medications of COVID-19 practiced at Dhaka city in Bangladesh: a randomized cross-sectional study</w:t>
      </w:r>
    </w:p>
    <w:p w14:paraId="5DA998F7" w14:textId="3E37D88C" w:rsidR="00B04F3D" w:rsidRDefault="00B04F3D"/>
    <w:p w14:paraId="0CFC3B60" w14:textId="77777777" w:rsidR="00843EB8" w:rsidRPr="003A0829" w:rsidRDefault="00843EB8" w:rsidP="00843EB8">
      <w:pPr>
        <w:pStyle w:val="MDPI13authornames"/>
        <w:tabs>
          <w:tab w:val="left" w:pos="567"/>
        </w:tabs>
        <w:spacing w:after="0" w:line="240" w:lineRule="auto"/>
        <w:jc w:val="both"/>
        <w:rPr>
          <w:rFonts w:ascii="Times New Roman" w:hAnsi="Times New Roman"/>
          <w:color w:val="000000" w:themeColor="text1"/>
          <w:sz w:val="26"/>
          <w:szCs w:val="26"/>
          <w:vertAlign w:val="superscript"/>
        </w:rPr>
      </w:pPr>
      <w:r w:rsidRPr="003A0829">
        <w:rPr>
          <w:rFonts w:ascii="Times New Roman" w:hAnsi="Times New Roman"/>
          <w:color w:val="000000" w:themeColor="text1"/>
          <w:sz w:val="26"/>
          <w:szCs w:val="26"/>
        </w:rPr>
        <w:t>Tabassum Jannat</w:t>
      </w:r>
      <w:r w:rsidRPr="003A0829">
        <w:rPr>
          <w:rFonts w:ascii="Times New Roman" w:hAnsi="Times New Roman"/>
          <w:color w:val="000000" w:themeColor="text1"/>
          <w:sz w:val="26"/>
          <w:szCs w:val="26"/>
          <w:vertAlign w:val="superscript"/>
        </w:rPr>
        <w:t>1,2</w:t>
      </w:r>
      <w:r w:rsidRPr="003A0829">
        <w:rPr>
          <w:rFonts w:ascii="Times New Roman" w:hAnsi="Times New Roman"/>
          <w:color w:val="000000" w:themeColor="text1"/>
          <w:sz w:val="26"/>
          <w:szCs w:val="26"/>
        </w:rPr>
        <w:t>, Md. Moklesur Rahman Sarker</w:t>
      </w:r>
      <w:r w:rsidRPr="003A0829">
        <w:rPr>
          <w:rFonts w:ascii="Times New Roman" w:hAnsi="Times New Roman"/>
          <w:color w:val="000000" w:themeColor="text1"/>
          <w:sz w:val="26"/>
          <w:szCs w:val="26"/>
          <w:vertAlign w:val="superscript"/>
        </w:rPr>
        <w:t>3,4*</w:t>
      </w:r>
      <w:r w:rsidRPr="003A0829">
        <w:rPr>
          <w:rFonts w:ascii="Times New Roman" w:hAnsi="Times New Roman"/>
          <w:color w:val="000000" w:themeColor="text1"/>
          <w:sz w:val="26"/>
          <w:szCs w:val="26"/>
        </w:rPr>
        <w:t xml:space="preserve">, </w:t>
      </w:r>
      <w:proofErr w:type="spellStart"/>
      <w:r w:rsidRPr="003A0829">
        <w:rPr>
          <w:rFonts w:ascii="Times New Roman" w:hAnsi="Times New Roman"/>
          <w:color w:val="000000" w:themeColor="text1"/>
          <w:sz w:val="26"/>
          <w:szCs w:val="26"/>
        </w:rPr>
        <w:t>Safaet</w:t>
      </w:r>
      <w:proofErr w:type="spellEnd"/>
      <w:r w:rsidRPr="003A0829">
        <w:rPr>
          <w:rFonts w:ascii="Times New Roman" w:hAnsi="Times New Roman"/>
          <w:color w:val="000000" w:themeColor="text1"/>
          <w:sz w:val="26"/>
          <w:szCs w:val="26"/>
        </w:rPr>
        <w:t xml:space="preserve"> Alam</w:t>
      </w:r>
      <w:r w:rsidRPr="003A0829">
        <w:rPr>
          <w:rFonts w:ascii="Times New Roman" w:hAnsi="Times New Roman"/>
          <w:color w:val="000000" w:themeColor="text1"/>
          <w:sz w:val="26"/>
          <w:szCs w:val="26"/>
          <w:vertAlign w:val="superscript"/>
        </w:rPr>
        <w:t>5</w:t>
      </w:r>
      <w:r w:rsidRPr="003A0829">
        <w:rPr>
          <w:rFonts w:ascii="Times New Roman" w:hAnsi="Times New Roman"/>
          <w:color w:val="000000" w:themeColor="text1"/>
          <w:sz w:val="26"/>
          <w:szCs w:val="26"/>
        </w:rPr>
        <w:t xml:space="preserve">, </w:t>
      </w:r>
      <w:proofErr w:type="spellStart"/>
      <w:r w:rsidRPr="003A0829">
        <w:rPr>
          <w:rFonts w:ascii="Times New Roman" w:hAnsi="Times New Roman"/>
          <w:color w:val="000000" w:themeColor="text1"/>
          <w:sz w:val="26"/>
          <w:szCs w:val="26"/>
        </w:rPr>
        <w:t>Mst</w:t>
      </w:r>
      <w:proofErr w:type="spellEnd"/>
      <w:r w:rsidRPr="003A0829">
        <w:rPr>
          <w:rFonts w:ascii="Times New Roman" w:hAnsi="Times New Roman"/>
          <w:color w:val="000000" w:themeColor="text1"/>
          <w:sz w:val="26"/>
          <w:szCs w:val="26"/>
        </w:rPr>
        <w:t xml:space="preserve">. </w:t>
      </w:r>
      <w:proofErr w:type="spellStart"/>
      <w:r w:rsidRPr="003A0829">
        <w:rPr>
          <w:rFonts w:ascii="Times New Roman" w:hAnsi="Times New Roman"/>
          <w:color w:val="000000" w:themeColor="text1"/>
          <w:sz w:val="26"/>
          <w:szCs w:val="26"/>
        </w:rPr>
        <w:t>Luthfun</w:t>
      </w:r>
      <w:proofErr w:type="spellEnd"/>
      <w:r w:rsidRPr="003A0829">
        <w:rPr>
          <w:rFonts w:ascii="Times New Roman" w:hAnsi="Times New Roman"/>
          <w:color w:val="000000" w:themeColor="text1"/>
          <w:sz w:val="26"/>
          <w:szCs w:val="26"/>
        </w:rPr>
        <w:t xml:space="preserve"> Nesa</w:t>
      </w:r>
      <w:r w:rsidRPr="003A0829">
        <w:rPr>
          <w:rFonts w:ascii="Times New Roman" w:hAnsi="Times New Roman"/>
          <w:color w:val="000000" w:themeColor="text1"/>
          <w:sz w:val="26"/>
          <w:szCs w:val="26"/>
          <w:vertAlign w:val="superscript"/>
        </w:rPr>
        <w:t>6</w:t>
      </w:r>
      <w:r w:rsidRPr="003A0829">
        <w:rPr>
          <w:rFonts w:ascii="Times New Roman" w:hAnsi="Times New Roman"/>
          <w:color w:val="000000" w:themeColor="text1"/>
          <w:sz w:val="26"/>
          <w:szCs w:val="26"/>
        </w:rPr>
        <w:t>, Selina Akhter</w:t>
      </w:r>
      <w:r w:rsidRPr="003A0829">
        <w:rPr>
          <w:rFonts w:ascii="Times New Roman" w:hAnsi="Times New Roman"/>
          <w:color w:val="000000" w:themeColor="text1"/>
          <w:sz w:val="26"/>
          <w:szCs w:val="26"/>
          <w:vertAlign w:val="superscript"/>
        </w:rPr>
        <w:t>7</w:t>
      </w:r>
    </w:p>
    <w:p w14:paraId="437E814E" w14:textId="77777777" w:rsidR="00843EB8" w:rsidRPr="003A0829" w:rsidRDefault="00843EB8" w:rsidP="00843EB8">
      <w:pPr>
        <w:pStyle w:val="Heading3"/>
        <w:spacing w:before="0" w:after="0" w:line="240" w:lineRule="auto"/>
        <w:rPr>
          <w:sz w:val="16"/>
        </w:rPr>
      </w:pPr>
    </w:p>
    <w:p w14:paraId="67336659" w14:textId="77777777" w:rsidR="00843EB8" w:rsidRPr="00BC3F5D" w:rsidRDefault="00843EB8" w:rsidP="00843EB8">
      <w:pPr>
        <w:pStyle w:val="Heading3"/>
        <w:spacing w:before="0" w:after="0" w:line="240" w:lineRule="auto"/>
      </w:pPr>
      <w:r w:rsidRPr="00BC3F5D">
        <w:t>Abstract</w:t>
      </w:r>
    </w:p>
    <w:p w14:paraId="39EA5C71" w14:textId="77777777" w:rsidR="00843EB8" w:rsidRPr="00D16F12" w:rsidRDefault="00843EB8" w:rsidP="00843EB8">
      <w:pPr>
        <w:spacing w:after="0" w:line="240" w:lineRule="auto"/>
        <w:rPr>
          <w:sz w:val="10"/>
          <w:szCs w:val="10"/>
        </w:rPr>
      </w:pPr>
    </w:p>
    <w:p w14:paraId="6EE93B68" w14:textId="77777777" w:rsidR="00843EB8" w:rsidRPr="00426080" w:rsidRDefault="00843EB8" w:rsidP="00843EB8">
      <w:pPr>
        <w:spacing w:after="0" w:line="240" w:lineRule="auto"/>
        <w:jc w:val="both"/>
        <w:rPr>
          <w:rFonts w:ascii="Times New Roman" w:hAnsi="Times New Roman" w:cs="Times New Roman"/>
          <w:color w:val="000000" w:themeColor="text1"/>
          <w:sz w:val="20"/>
          <w:szCs w:val="20"/>
        </w:rPr>
      </w:pPr>
      <w:r w:rsidRPr="00426080">
        <w:rPr>
          <w:rFonts w:ascii="Times New Roman" w:hAnsi="Times New Roman" w:cs="Times New Roman"/>
          <w:color w:val="000000" w:themeColor="text1"/>
          <w:sz w:val="20"/>
          <w:szCs w:val="20"/>
        </w:rPr>
        <w:t xml:space="preserve">Before introducing of COVID-19 vaccines the management of COVID-19 was mainly performed by repurposing of existing drugs and adopting the traditional practice. Later </w:t>
      </w:r>
      <w:proofErr w:type="gramStart"/>
      <w:r w:rsidRPr="00426080">
        <w:rPr>
          <w:rFonts w:ascii="Times New Roman" w:hAnsi="Times New Roman" w:cs="Times New Roman"/>
          <w:color w:val="000000" w:themeColor="text1"/>
          <w:sz w:val="20"/>
          <w:szCs w:val="20"/>
        </w:rPr>
        <w:t>on</w:t>
      </w:r>
      <w:proofErr w:type="gramEnd"/>
      <w:r w:rsidRPr="00426080">
        <w:rPr>
          <w:rFonts w:ascii="Times New Roman" w:hAnsi="Times New Roman" w:cs="Times New Roman"/>
          <w:color w:val="000000" w:themeColor="text1"/>
          <w:sz w:val="20"/>
          <w:szCs w:val="20"/>
        </w:rPr>
        <w:t xml:space="preserve"> vaccine immunization was introduced in addition to repurposing of drugs and traditional practice. The present study aimed to identify the treatment pattern of COVID-19 along with the traditional practices followed in Bangladesh and justify their purposes of use. For this purpose, a randomized cross-sectional prescriptive study was conducted among COVID-19 survivors who received treatment from hospitals or staying at home to collect their prescriptions, other medical records, and interview on to discuss on different aspects of their disease conditions and treatment. The patients’ prescriptions and interview reports were used to identify mostly used classes of drugs, their frequency and other traditional practices followed by the patients suggested by doctors. These prescriptions were then analyzed to establish a treatment pattern followed by the common people of Bangladesh. The data were collected from a total of 184 participants (age between 18 years to 80 years old) of COVID-survivors of both sexes residing in different locations of Dhaka city in Bangladesh during 10 March 2021 to 30 July 2021. Among the 184 participants, 123 were from non-hospitalized and 61 from hospitalized patients. The numbers of male COVID-19 patients were higher than that of female. We found that COVID-19 patients were treated with several classes of medications. The major classes of medicaments used were antiviral drugs (Ivermectin, </w:t>
      </w:r>
      <w:proofErr w:type="spellStart"/>
      <w:r w:rsidRPr="00426080">
        <w:rPr>
          <w:rFonts w:ascii="Times New Roman" w:hAnsi="Times New Roman" w:cs="Times New Roman"/>
          <w:color w:val="000000" w:themeColor="text1"/>
          <w:sz w:val="20"/>
          <w:szCs w:val="20"/>
        </w:rPr>
        <w:t>Remdisivir</w:t>
      </w:r>
      <w:proofErr w:type="spellEnd"/>
      <w:r w:rsidRPr="00426080">
        <w:rPr>
          <w:rFonts w:ascii="Times New Roman" w:hAnsi="Times New Roman" w:cs="Times New Roman"/>
          <w:color w:val="000000" w:themeColor="text1"/>
          <w:sz w:val="20"/>
          <w:szCs w:val="20"/>
        </w:rPr>
        <w:t xml:space="preserve">, Favipiravir), antibiotics (Azithromycin, Doxycycline, </w:t>
      </w:r>
      <w:proofErr w:type="spellStart"/>
      <w:r w:rsidRPr="00426080">
        <w:rPr>
          <w:rFonts w:ascii="Times New Roman" w:hAnsi="Times New Roman" w:cs="Times New Roman"/>
          <w:color w:val="000000" w:themeColor="text1"/>
          <w:sz w:val="20"/>
          <w:szCs w:val="20"/>
        </w:rPr>
        <w:t>Amoxicillin+Clavulanic</w:t>
      </w:r>
      <w:proofErr w:type="spellEnd"/>
      <w:r w:rsidRPr="00426080">
        <w:rPr>
          <w:rFonts w:ascii="Times New Roman" w:hAnsi="Times New Roman" w:cs="Times New Roman"/>
          <w:color w:val="000000" w:themeColor="text1"/>
          <w:sz w:val="20"/>
          <w:szCs w:val="20"/>
        </w:rPr>
        <w:t xml:space="preserve"> acid, Cefuroxime, Cefixime, Moxifloxacin, Gemifloxacin, Levofloxacin, Meropenem), anticoagulants (Rivaroxaban, Enoxaparin, Betrixaban), and nutritional supplements (Vitamin C, Vitamin D, Vitamin B complex, Zinc, Multivitamin, </w:t>
      </w:r>
      <w:proofErr w:type="spellStart"/>
      <w:r w:rsidRPr="00426080">
        <w:rPr>
          <w:rFonts w:ascii="Times New Roman" w:hAnsi="Times New Roman" w:cs="Times New Roman"/>
          <w:color w:val="000000" w:themeColor="text1"/>
          <w:sz w:val="20"/>
          <w:szCs w:val="20"/>
        </w:rPr>
        <w:t>Daflon</w:t>
      </w:r>
      <w:proofErr w:type="spellEnd"/>
      <w:r w:rsidRPr="00426080">
        <w:rPr>
          <w:rFonts w:ascii="Times New Roman" w:hAnsi="Times New Roman" w:cs="Times New Roman"/>
          <w:color w:val="000000" w:themeColor="text1"/>
          <w:sz w:val="20"/>
          <w:szCs w:val="20"/>
        </w:rPr>
        <w:t xml:space="preserve">, Pancreatin, </w:t>
      </w:r>
      <w:proofErr w:type="spellStart"/>
      <w:r w:rsidRPr="00426080">
        <w:rPr>
          <w:rFonts w:ascii="Times New Roman" w:hAnsi="Times New Roman" w:cs="Times New Roman"/>
          <w:color w:val="000000" w:themeColor="text1"/>
          <w:sz w:val="20"/>
          <w:szCs w:val="20"/>
        </w:rPr>
        <w:t>Calcium+Amino</w:t>
      </w:r>
      <w:proofErr w:type="spellEnd"/>
      <w:r w:rsidRPr="00426080">
        <w:rPr>
          <w:rFonts w:ascii="Times New Roman" w:hAnsi="Times New Roman" w:cs="Times New Roman"/>
          <w:color w:val="000000" w:themeColor="text1"/>
          <w:sz w:val="20"/>
          <w:szCs w:val="20"/>
        </w:rPr>
        <w:t xml:space="preserve"> acid). Traditional healing practices were also followed by patients at home including inhalation of water vapor, consumption of spiced tea, physical exercises, and gurgling with hot water with verbal suggestion or without the suggestion of the physicians. The treatment pattern of COVID-19 was mostly symptomatic. Although the treatment pattern and the type of repurposing drugs were mostly followed WHO and country guidelines, the frequent use of antibiotics and corticosteroids were not in compliance with the above guidelines. The COVID-19 treatment pattern practiced in Bangladesh was mostly found to be symptomatic which was aligned with the guidelines of WHO and drug administration of Bangladesh except the use irrational and frequent use of antibiotics and corticosteroids.  </w:t>
      </w:r>
    </w:p>
    <w:p w14:paraId="0498F541" w14:textId="77777777" w:rsidR="00843EB8" w:rsidRPr="00426080" w:rsidRDefault="00843EB8" w:rsidP="00843EB8">
      <w:pPr>
        <w:spacing w:after="0" w:line="240" w:lineRule="auto"/>
        <w:jc w:val="both"/>
        <w:rPr>
          <w:rFonts w:ascii="Times New Roman" w:hAnsi="Times New Roman" w:cs="Times New Roman"/>
          <w:b/>
          <w:bCs/>
          <w:sz w:val="20"/>
          <w:szCs w:val="20"/>
        </w:rPr>
      </w:pPr>
    </w:p>
    <w:p w14:paraId="7B056473" w14:textId="77777777" w:rsidR="00843EB8" w:rsidRPr="00426080" w:rsidRDefault="00843EB8" w:rsidP="00843EB8">
      <w:pPr>
        <w:spacing w:after="0" w:line="240" w:lineRule="auto"/>
        <w:jc w:val="both"/>
        <w:rPr>
          <w:rFonts w:ascii="Times New Roman" w:hAnsi="Times New Roman" w:cs="Times New Roman"/>
          <w:sz w:val="20"/>
          <w:szCs w:val="20"/>
        </w:rPr>
      </w:pPr>
      <w:r w:rsidRPr="00426080">
        <w:rPr>
          <w:rFonts w:ascii="Times New Roman" w:hAnsi="Times New Roman" w:cs="Times New Roman"/>
          <w:b/>
          <w:bCs/>
          <w:sz w:val="20"/>
          <w:szCs w:val="20"/>
        </w:rPr>
        <w:t>Keywords</w:t>
      </w:r>
      <w:r w:rsidRPr="00426080">
        <w:rPr>
          <w:rFonts w:ascii="Times New Roman" w:hAnsi="Times New Roman" w:cs="Times New Roman"/>
          <w:sz w:val="20"/>
          <w:szCs w:val="20"/>
        </w:rPr>
        <w:t>: Commercial drug, Formulated drug, Fexofenadine hydrochloride, Quality control parameters, Quality of medicine</w:t>
      </w:r>
    </w:p>
    <w:p w14:paraId="7F7B4547" w14:textId="2B1DE754" w:rsidR="00843EB8" w:rsidRDefault="00843EB8"/>
    <w:p w14:paraId="1DC00F52" w14:textId="77777777" w:rsidR="00B60797" w:rsidRPr="006A299B" w:rsidRDefault="00B60797" w:rsidP="00B60797">
      <w:pPr>
        <w:pStyle w:val="AuthorList"/>
        <w:spacing w:before="0" w:after="0"/>
        <w:jc w:val="both"/>
        <w:rPr>
          <w:b w:val="0"/>
          <w:color w:val="000000" w:themeColor="text1"/>
          <w:sz w:val="17"/>
          <w:szCs w:val="17"/>
        </w:rPr>
      </w:pPr>
      <w:r w:rsidRPr="000C3AC9">
        <w:rPr>
          <w:b w:val="0"/>
          <w:color w:val="000000" w:themeColor="text1"/>
          <w:sz w:val="17"/>
          <w:szCs w:val="17"/>
          <w:vertAlign w:val="superscript"/>
        </w:rPr>
        <w:t>1</w:t>
      </w:r>
      <w:r w:rsidRPr="000C3AC9">
        <w:rPr>
          <w:b w:val="0"/>
          <w:color w:val="000000" w:themeColor="text1"/>
          <w:sz w:val="17"/>
          <w:szCs w:val="17"/>
        </w:rPr>
        <w:t xml:space="preserve">Department of Pharmacy, University of Asia Pacific, 74/A Green Road, Dhaka, Bangladesh; </w:t>
      </w:r>
      <w:r w:rsidRPr="000C3AC9">
        <w:rPr>
          <w:b w:val="0"/>
          <w:color w:val="000000" w:themeColor="text1"/>
          <w:sz w:val="17"/>
          <w:szCs w:val="17"/>
          <w:vertAlign w:val="superscript"/>
        </w:rPr>
        <w:t>2</w:t>
      </w:r>
      <w:r w:rsidRPr="000C3AC9">
        <w:rPr>
          <w:b w:val="0"/>
          <w:color w:val="000000" w:themeColor="text1"/>
          <w:sz w:val="17"/>
          <w:szCs w:val="17"/>
        </w:rPr>
        <w:t xml:space="preserve">Griffith Institute for Drug Discovery, Griffith University, Queensland, Brisbane, Australia; </w:t>
      </w:r>
      <w:r w:rsidRPr="000C3AC9">
        <w:rPr>
          <w:b w:val="0"/>
          <w:color w:val="000000" w:themeColor="text1"/>
          <w:sz w:val="17"/>
          <w:szCs w:val="17"/>
          <w:vertAlign w:val="superscript"/>
        </w:rPr>
        <w:t xml:space="preserve">3 </w:t>
      </w:r>
      <w:r w:rsidRPr="000C3AC9">
        <w:rPr>
          <w:b w:val="0"/>
          <w:color w:val="000000" w:themeColor="text1"/>
          <w:sz w:val="17"/>
          <w:szCs w:val="17"/>
        </w:rPr>
        <w:t>Department of Pharmacy, Gono University (</w:t>
      </w:r>
      <w:proofErr w:type="spellStart"/>
      <w:r w:rsidRPr="000C3AC9">
        <w:rPr>
          <w:b w:val="0"/>
          <w:color w:val="000000" w:themeColor="text1"/>
          <w:sz w:val="17"/>
          <w:szCs w:val="17"/>
        </w:rPr>
        <w:t>Bishwabidyalay</w:t>
      </w:r>
      <w:proofErr w:type="spellEnd"/>
      <w:r w:rsidRPr="000C3AC9">
        <w:rPr>
          <w:b w:val="0"/>
          <w:color w:val="000000" w:themeColor="text1"/>
          <w:sz w:val="17"/>
          <w:szCs w:val="17"/>
        </w:rPr>
        <w:t xml:space="preserve">), </w:t>
      </w:r>
      <w:proofErr w:type="spellStart"/>
      <w:r w:rsidRPr="000C3AC9">
        <w:rPr>
          <w:b w:val="0"/>
          <w:color w:val="000000" w:themeColor="text1"/>
          <w:sz w:val="17"/>
          <w:szCs w:val="17"/>
        </w:rPr>
        <w:t>Nolam</w:t>
      </w:r>
      <w:proofErr w:type="spellEnd"/>
      <w:r w:rsidRPr="000C3AC9">
        <w:rPr>
          <w:b w:val="0"/>
          <w:color w:val="000000" w:themeColor="text1"/>
          <w:sz w:val="17"/>
          <w:szCs w:val="17"/>
        </w:rPr>
        <w:t xml:space="preserve">, </w:t>
      </w:r>
      <w:proofErr w:type="spellStart"/>
      <w:r w:rsidRPr="000C3AC9">
        <w:rPr>
          <w:b w:val="0"/>
          <w:color w:val="000000" w:themeColor="text1"/>
          <w:sz w:val="17"/>
          <w:szCs w:val="17"/>
        </w:rPr>
        <w:t>Mirzanagar</w:t>
      </w:r>
      <w:proofErr w:type="spellEnd"/>
      <w:r w:rsidRPr="000C3AC9">
        <w:rPr>
          <w:b w:val="0"/>
          <w:color w:val="000000" w:themeColor="text1"/>
          <w:sz w:val="17"/>
          <w:szCs w:val="17"/>
        </w:rPr>
        <w:t xml:space="preserve">, </w:t>
      </w:r>
      <w:proofErr w:type="spellStart"/>
      <w:r w:rsidRPr="000C3AC9">
        <w:rPr>
          <w:b w:val="0"/>
          <w:color w:val="000000" w:themeColor="text1"/>
          <w:sz w:val="17"/>
          <w:szCs w:val="17"/>
        </w:rPr>
        <w:t>Savar</w:t>
      </w:r>
      <w:proofErr w:type="spellEnd"/>
      <w:r w:rsidRPr="000C3AC9">
        <w:rPr>
          <w:b w:val="0"/>
          <w:color w:val="000000" w:themeColor="text1"/>
          <w:sz w:val="17"/>
          <w:szCs w:val="17"/>
        </w:rPr>
        <w:t xml:space="preserve">, Dhaka- 1344, Bangladesh; </w:t>
      </w:r>
      <w:r w:rsidRPr="000C3AC9">
        <w:rPr>
          <w:b w:val="0"/>
          <w:color w:val="000000" w:themeColor="text1"/>
          <w:sz w:val="17"/>
          <w:szCs w:val="17"/>
          <w:vertAlign w:val="superscript"/>
          <w:lang w:val="en-MY"/>
        </w:rPr>
        <w:t>4</w:t>
      </w:r>
      <w:r w:rsidRPr="000C3AC9">
        <w:rPr>
          <w:b w:val="0"/>
          <w:color w:val="000000" w:themeColor="text1"/>
          <w:sz w:val="17"/>
          <w:szCs w:val="17"/>
          <w:lang w:val="en-MY"/>
        </w:rPr>
        <w:t xml:space="preserve">Pharmacology and Toxicology Research Division, Health Med Science Research Limited, 3/1 Block F, </w:t>
      </w:r>
      <w:proofErr w:type="spellStart"/>
      <w:r w:rsidRPr="000C3AC9">
        <w:rPr>
          <w:b w:val="0"/>
          <w:color w:val="000000" w:themeColor="text1"/>
          <w:sz w:val="17"/>
          <w:szCs w:val="17"/>
          <w:lang w:val="en-MY"/>
        </w:rPr>
        <w:t>Lalmatia</w:t>
      </w:r>
      <w:proofErr w:type="spellEnd"/>
      <w:r w:rsidRPr="000C3AC9">
        <w:rPr>
          <w:b w:val="0"/>
          <w:color w:val="000000" w:themeColor="text1"/>
          <w:sz w:val="17"/>
          <w:szCs w:val="17"/>
          <w:lang w:val="en-MY"/>
        </w:rPr>
        <w:t xml:space="preserve">, Dhaka 1207, Bangladesh; </w:t>
      </w:r>
      <w:r w:rsidRPr="000C3AC9">
        <w:rPr>
          <w:b w:val="0"/>
          <w:color w:val="000000" w:themeColor="text1"/>
          <w:sz w:val="17"/>
          <w:szCs w:val="17"/>
          <w:vertAlign w:val="superscript"/>
        </w:rPr>
        <w:t>5</w:t>
      </w:r>
      <w:r w:rsidRPr="000C3AC9">
        <w:rPr>
          <w:b w:val="0"/>
          <w:color w:val="000000" w:themeColor="text1"/>
          <w:sz w:val="17"/>
          <w:szCs w:val="17"/>
        </w:rPr>
        <w:t xml:space="preserve">Drugs and Toxins Research Division, BCSIR Laboratories </w:t>
      </w:r>
      <w:proofErr w:type="spellStart"/>
      <w:r w:rsidRPr="000C3AC9">
        <w:rPr>
          <w:b w:val="0"/>
          <w:color w:val="000000" w:themeColor="text1"/>
          <w:sz w:val="17"/>
          <w:szCs w:val="17"/>
        </w:rPr>
        <w:t>Rajshahi</w:t>
      </w:r>
      <w:proofErr w:type="spellEnd"/>
      <w:r w:rsidRPr="000C3AC9">
        <w:rPr>
          <w:b w:val="0"/>
          <w:color w:val="000000" w:themeColor="text1"/>
          <w:sz w:val="17"/>
          <w:szCs w:val="17"/>
        </w:rPr>
        <w:t xml:space="preserve">, Bangladesh Council of Scientific and Industrial Research, </w:t>
      </w:r>
      <w:proofErr w:type="spellStart"/>
      <w:r w:rsidRPr="000C3AC9">
        <w:rPr>
          <w:b w:val="0"/>
          <w:color w:val="000000" w:themeColor="text1"/>
          <w:sz w:val="17"/>
          <w:szCs w:val="17"/>
        </w:rPr>
        <w:t>Rajshahi</w:t>
      </w:r>
      <w:proofErr w:type="spellEnd"/>
      <w:r w:rsidRPr="000C3AC9">
        <w:rPr>
          <w:b w:val="0"/>
          <w:color w:val="000000" w:themeColor="text1"/>
          <w:sz w:val="17"/>
          <w:szCs w:val="17"/>
        </w:rPr>
        <w:t xml:space="preserve"> 6206, Bangladesh; </w:t>
      </w:r>
      <w:r w:rsidRPr="000C3AC9">
        <w:rPr>
          <w:b w:val="0"/>
          <w:color w:val="000000" w:themeColor="text1"/>
          <w:sz w:val="17"/>
          <w:szCs w:val="17"/>
          <w:vertAlign w:val="superscript"/>
        </w:rPr>
        <w:t>6</w:t>
      </w:r>
      <w:r w:rsidRPr="000C3AC9">
        <w:rPr>
          <w:b w:val="0"/>
          <w:color w:val="000000" w:themeColor="text1"/>
          <w:sz w:val="17"/>
          <w:szCs w:val="17"/>
        </w:rPr>
        <w:t xml:space="preserve">Department of Pharmacy, State University of Bangladesh, 77 </w:t>
      </w:r>
      <w:proofErr w:type="spellStart"/>
      <w:r w:rsidRPr="000C3AC9">
        <w:rPr>
          <w:b w:val="0"/>
          <w:color w:val="000000" w:themeColor="text1"/>
          <w:sz w:val="17"/>
          <w:szCs w:val="17"/>
        </w:rPr>
        <w:t>Satmasjid</w:t>
      </w:r>
      <w:proofErr w:type="spellEnd"/>
      <w:r w:rsidRPr="000C3AC9">
        <w:rPr>
          <w:b w:val="0"/>
          <w:color w:val="000000" w:themeColor="text1"/>
          <w:sz w:val="17"/>
          <w:szCs w:val="17"/>
        </w:rPr>
        <w:t xml:space="preserve"> Road, Dhanmondi, Dhaka 1205, Bangladesh; </w:t>
      </w:r>
      <w:r w:rsidRPr="000C3AC9">
        <w:rPr>
          <w:rFonts w:eastAsia="Calibri"/>
          <w:b w:val="0"/>
          <w:iCs/>
          <w:color w:val="000000" w:themeColor="text1"/>
          <w:sz w:val="17"/>
          <w:szCs w:val="17"/>
          <w:vertAlign w:val="superscript"/>
          <w:lang w:val="en-MY"/>
        </w:rPr>
        <w:t>7</w:t>
      </w:r>
      <w:r w:rsidRPr="000C3AC9">
        <w:rPr>
          <w:b w:val="0"/>
          <w:color w:val="000000" w:themeColor="text1"/>
          <w:sz w:val="17"/>
          <w:szCs w:val="17"/>
        </w:rPr>
        <w:t>Department of Public Health, Faculty of Allied Health Science, Daffodil International University, Dhanmondi, Dhaka 1207, Bangladesh</w:t>
      </w:r>
    </w:p>
    <w:p w14:paraId="6C186D7D" w14:textId="77777777" w:rsidR="00B60797" w:rsidRPr="006A299B" w:rsidRDefault="00B60797" w:rsidP="00B60797">
      <w:pPr>
        <w:spacing w:after="0" w:line="240" w:lineRule="auto"/>
        <w:rPr>
          <w:rFonts w:ascii="Times New Roman" w:hAnsi="Times New Roman" w:cs="Times New Roman"/>
          <w:b/>
          <w:sz w:val="7"/>
          <w:szCs w:val="17"/>
        </w:rPr>
      </w:pPr>
    </w:p>
    <w:p w14:paraId="35404062" w14:textId="002D572A" w:rsidR="001D00B4" w:rsidRDefault="001D00B4"/>
    <w:p w14:paraId="03525FCC" w14:textId="77777777" w:rsidR="00B60797" w:rsidRDefault="00B60797" w:rsidP="00B60797">
      <w:pPr>
        <w:spacing w:after="0" w:line="240" w:lineRule="auto"/>
        <w:jc w:val="both"/>
        <w:rPr>
          <w:rFonts w:ascii="Times New Roman" w:hAnsi="Times New Roman" w:cs="Times New Roman"/>
          <w:color w:val="000000" w:themeColor="text1"/>
          <w:sz w:val="17"/>
          <w:szCs w:val="17"/>
        </w:rPr>
      </w:pPr>
      <w:r w:rsidRPr="000C3AC9">
        <w:rPr>
          <w:rFonts w:ascii="Times New Roman" w:hAnsi="Times New Roman" w:cs="Times New Roman"/>
          <w:b/>
          <w:sz w:val="17"/>
          <w:szCs w:val="17"/>
        </w:rPr>
        <w:t xml:space="preserve">* Correspondence: </w:t>
      </w:r>
      <w:proofErr w:type="spellStart"/>
      <w:r>
        <w:rPr>
          <w:rFonts w:ascii="Times New Roman" w:hAnsi="Times New Roman" w:cs="Times New Roman"/>
          <w:color w:val="000000" w:themeColor="text1"/>
          <w:sz w:val="17"/>
          <w:szCs w:val="17"/>
        </w:rPr>
        <w:t>Name</w:t>
      </w:r>
      <w:r w:rsidRPr="000C3AC9">
        <w:rPr>
          <w:rFonts w:ascii="Times New Roman" w:hAnsi="Times New Roman" w:cs="Times New Roman"/>
          <w:color w:val="000000" w:themeColor="text1"/>
          <w:sz w:val="17"/>
          <w:szCs w:val="17"/>
        </w:rPr>
        <w:t>r</w:t>
      </w:r>
      <w:proofErr w:type="spellEnd"/>
      <w:r>
        <w:rPr>
          <w:rFonts w:ascii="Times New Roman" w:hAnsi="Times New Roman" w:cs="Times New Roman"/>
          <w:color w:val="000000" w:themeColor="text1"/>
          <w:sz w:val="17"/>
          <w:szCs w:val="17"/>
        </w:rPr>
        <w:t>………</w:t>
      </w:r>
      <w:proofErr w:type="gramStart"/>
      <w:r>
        <w:rPr>
          <w:rFonts w:ascii="Times New Roman" w:hAnsi="Times New Roman" w:cs="Times New Roman"/>
          <w:color w:val="000000" w:themeColor="text1"/>
          <w:sz w:val="17"/>
          <w:szCs w:val="17"/>
        </w:rPr>
        <w:t>…..</w:t>
      </w:r>
      <w:proofErr w:type="gramEnd"/>
      <w:r w:rsidRPr="000C3AC9">
        <w:rPr>
          <w:rFonts w:ascii="Times New Roman" w:hAnsi="Times New Roman" w:cs="Times New Roman"/>
          <w:color w:val="000000" w:themeColor="text1"/>
          <w:sz w:val="17"/>
          <w:szCs w:val="17"/>
        </w:rPr>
        <w:t>,</w:t>
      </w:r>
      <w:r>
        <w:rPr>
          <w:rFonts w:ascii="Times New Roman" w:hAnsi="Times New Roman" w:cs="Times New Roman"/>
          <w:color w:val="000000" w:themeColor="text1"/>
          <w:sz w:val="17"/>
          <w:szCs w:val="17"/>
        </w:rPr>
        <w:t xml:space="preserve"> Designation………………..</w:t>
      </w:r>
      <w:r w:rsidRPr="000C3AC9">
        <w:rPr>
          <w:rFonts w:ascii="Times New Roman" w:hAnsi="Times New Roman" w:cs="Times New Roman"/>
          <w:color w:val="000000" w:themeColor="text1"/>
          <w:sz w:val="17"/>
          <w:szCs w:val="17"/>
        </w:rPr>
        <w:t xml:space="preserve"> </w:t>
      </w:r>
      <w:r>
        <w:rPr>
          <w:rFonts w:ascii="Times New Roman" w:hAnsi="Times New Roman" w:cs="Times New Roman"/>
          <w:color w:val="000000" w:themeColor="text1"/>
          <w:sz w:val="17"/>
          <w:szCs w:val="17"/>
        </w:rPr>
        <w:t>Affiliation…………………………….</w:t>
      </w:r>
    </w:p>
    <w:p w14:paraId="0A31BB8D" w14:textId="77777777" w:rsidR="00B60797" w:rsidRPr="000C3AC9" w:rsidRDefault="00B60797" w:rsidP="00B60797">
      <w:pPr>
        <w:spacing w:after="0" w:line="240" w:lineRule="auto"/>
        <w:jc w:val="both"/>
        <w:rPr>
          <w:rFonts w:ascii="Times New Roman" w:hAnsi="Times New Roman" w:cs="Times New Roman"/>
          <w:iCs/>
          <w:color w:val="000000" w:themeColor="text1"/>
          <w:sz w:val="17"/>
          <w:szCs w:val="17"/>
        </w:rPr>
      </w:pPr>
      <w:r>
        <w:rPr>
          <w:rFonts w:ascii="Times New Roman" w:hAnsi="Times New Roman" w:cs="Times New Roman"/>
          <w:color w:val="000000" w:themeColor="text1"/>
          <w:sz w:val="17"/>
          <w:szCs w:val="17"/>
        </w:rPr>
        <w:t xml:space="preserve">   </w:t>
      </w:r>
      <w:r w:rsidRPr="000C3AC9">
        <w:rPr>
          <w:rFonts w:ascii="Times New Roman" w:hAnsi="Times New Roman" w:cs="Times New Roman"/>
          <w:color w:val="000000" w:themeColor="text1"/>
          <w:sz w:val="17"/>
          <w:szCs w:val="17"/>
        </w:rPr>
        <w:t xml:space="preserve">Email: </w:t>
      </w:r>
      <w:r>
        <w:rPr>
          <w:rFonts w:ascii="Times New Roman" w:hAnsi="Times New Roman" w:cs="Times New Roman"/>
          <w:color w:val="000000" w:themeColor="text1"/>
          <w:sz w:val="17"/>
          <w:szCs w:val="17"/>
        </w:rPr>
        <w:t>…………………</w:t>
      </w:r>
      <w:r w:rsidRPr="000C3AC9">
        <w:rPr>
          <w:rFonts w:ascii="Times New Roman" w:hAnsi="Times New Roman" w:cs="Times New Roman"/>
          <w:color w:val="000000" w:themeColor="text1"/>
          <w:sz w:val="17"/>
          <w:szCs w:val="17"/>
        </w:rPr>
        <w:t xml:space="preserve">; </w:t>
      </w:r>
      <w:r w:rsidRPr="000C3AC9">
        <w:rPr>
          <w:rFonts w:ascii="Times New Roman" w:hAnsi="Times New Roman" w:cs="Times New Roman"/>
          <w:sz w:val="17"/>
          <w:szCs w:val="17"/>
        </w:rPr>
        <w:t xml:space="preserve">Phone: </w:t>
      </w:r>
      <w:r>
        <w:rPr>
          <w:rFonts w:ascii="Times New Roman" w:hAnsi="Times New Roman" w:cs="Times New Roman"/>
          <w:bCs/>
          <w:sz w:val="17"/>
          <w:szCs w:val="17"/>
        </w:rPr>
        <w:t>……………………………</w:t>
      </w:r>
    </w:p>
    <w:p w14:paraId="66759862" w14:textId="30F4CAAC" w:rsidR="00B60797" w:rsidRDefault="00B60797"/>
    <w:p w14:paraId="18F601C9" w14:textId="77777777" w:rsidR="00B60797" w:rsidRPr="002F15C0" w:rsidRDefault="00B60797" w:rsidP="00B60797">
      <w:pPr>
        <w:pStyle w:val="Heading3"/>
        <w:spacing w:before="0" w:after="0"/>
        <w:rPr>
          <w:sz w:val="32"/>
          <w:szCs w:val="32"/>
        </w:rPr>
      </w:pPr>
      <w:r w:rsidRPr="002F15C0">
        <w:rPr>
          <w:sz w:val="32"/>
          <w:szCs w:val="32"/>
        </w:rPr>
        <w:lastRenderedPageBreak/>
        <w:t>Introduction</w:t>
      </w:r>
    </w:p>
    <w:p w14:paraId="30AF3CFC" w14:textId="77777777" w:rsidR="00B60797" w:rsidRPr="00A05D25" w:rsidRDefault="00B60797" w:rsidP="00B60797">
      <w:pPr>
        <w:pStyle w:val="Heading1"/>
        <w:spacing w:before="0" w:line="240" w:lineRule="auto"/>
        <w:jc w:val="both"/>
        <w:rPr>
          <w:rFonts w:ascii="Times New Roman" w:eastAsiaTheme="minorHAnsi" w:hAnsi="Times New Roman" w:cs="Times New Roman"/>
          <w:b/>
          <w:color w:val="000000" w:themeColor="text1"/>
          <w:sz w:val="22"/>
          <w:szCs w:val="22"/>
        </w:rPr>
      </w:pPr>
      <w:r w:rsidRPr="00FB2EFE">
        <w:rPr>
          <w:rFonts w:ascii="Times New Roman" w:eastAsiaTheme="minorHAnsi" w:hAnsi="Times New Roman" w:cs="Times New Roman"/>
          <w:color w:val="000000" w:themeColor="text1"/>
          <w:sz w:val="22"/>
          <w:szCs w:val="22"/>
        </w:rPr>
        <w:t>Coronavirus, known as SARS-CoV-2 (severe acute respiratory syndrome coronavirus-2), is a deadly virus that turned out to be a devastating outbreak all over the world. It became highlighted on 31st December 2019 as the China health authority alerted WHO (world health organization) about a new type of severe pneumonia of very different etiology in the main city of Hubei Province of China, Wuhan. The cases had been reported since December 8, 2019, and many patients worked at or lived around the local Huanan Seafood Wholesale Market although other early cases had no exposure to this market</w:t>
      </w:r>
      <w:r>
        <w:rPr>
          <w:rFonts w:ascii="Times New Roman" w:eastAsiaTheme="minorHAnsi" w:hAnsi="Times New Roman" w:cs="Times New Roman"/>
          <w:color w:val="000000" w:themeColor="text1"/>
          <w:sz w:val="22"/>
          <w:szCs w:val="22"/>
        </w:rPr>
        <w:t xml:space="preserve"> </w:t>
      </w:r>
      <w:r w:rsidRPr="00A05D25">
        <w:rPr>
          <w:rFonts w:ascii="Times New Roman" w:eastAsiaTheme="minorHAnsi" w:hAnsi="Times New Roman" w:cs="Times New Roman"/>
          <w:color w:val="000000" w:themeColor="text1"/>
          <w:sz w:val="22"/>
          <w:szCs w:val="22"/>
        </w:rPr>
        <w:t>(Lu et al., 2020)</w:t>
      </w:r>
      <w:r w:rsidRPr="00FB2EFE">
        <w:rPr>
          <w:rFonts w:ascii="Times New Roman" w:eastAsiaTheme="minorHAnsi" w:hAnsi="Times New Roman" w:cs="Times New Roman"/>
          <w:color w:val="000000" w:themeColor="text1"/>
          <w:sz w:val="22"/>
          <w:szCs w:val="22"/>
        </w:rPr>
        <w:t>. On January</w:t>
      </w:r>
      <w:r>
        <w:rPr>
          <w:rFonts w:ascii="Times New Roman" w:eastAsiaTheme="minorHAnsi" w:hAnsi="Times New Roman" w:cs="Times New Roman"/>
          <w:color w:val="000000" w:themeColor="text1"/>
          <w:sz w:val="22"/>
          <w:szCs w:val="22"/>
        </w:rPr>
        <w:t xml:space="preserve"> 07</w:t>
      </w:r>
      <w:r w:rsidRPr="00FB2EFE">
        <w:rPr>
          <w:rFonts w:ascii="Times New Roman" w:eastAsiaTheme="minorHAnsi" w:hAnsi="Times New Roman" w:cs="Times New Roman"/>
          <w:color w:val="000000" w:themeColor="text1"/>
          <w:sz w:val="22"/>
          <w:szCs w:val="22"/>
        </w:rPr>
        <w:t xml:space="preserve">, a novel corona virus, originally abbreviated as 2019-nCoV by WHO, was identified from the throat swab sample of patient </w:t>
      </w:r>
      <w:r w:rsidRPr="00A05D25">
        <w:rPr>
          <w:rFonts w:ascii="Times New Roman" w:eastAsiaTheme="minorHAnsi" w:hAnsi="Times New Roman" w:cs="Times New Roman"/>
          <w:color w:val="000000" w:themeColor="text1"/>
          <w:sz w:val="22"/>
          <w:szCs w:val="22"/>
        </w:rPr>
        <w:t>(Hui et al., 2020). This pathogen was later renamed as severe acute respiratory syndrome coronavirus 2 (SARS-CoV-2) by the Coronavirus Study Group (</w:t>
      </w:r>
      <w:proofErr w:type="spellStart"/>
      <w:r w:rsidRPr="00A05D25">
        <w:rPr>
          <w:rFonts w:ascii="Times New Roman" w:hAnsi="Times New Roman" w:cs="Times New Roman"/>
          <w:color w:val="000000" w:themeColor="text1"/>
          <w:sz w:val="22"/>
          <w:szCs w:val="22"/>
        </w:rPr>
        <w:t>Gorbalenya</w:t>
      </w:r>
      <w:proofErr w:type="spellEnd"/>
      <w:r w:rsidRPr="00A05D25">
        <w:rPr>
          <w:rFonts w:ascii="Times New Roman" w:hAnsi="Times New Roman" w:cs="Times New Roman"/>
          <w:color w:val="000000" w:themeColor="text1"/>
          <w:sz w:val="22"/>
          <w:szCs w:val="22"/>
        </w:rPr>
        <w:t xml:space="preserve"> et al., 2020</w:t>
      </w:r>
      <w:r w:rsidRPr="00A05D25">
        <w:rPr>
          <w:rFonts w:ascii="Times New Roman" w:eastAsiaTheme="minorHAnsi" w:hAnsi="Times New Roman" w:cs="Times New Roman"/>
          <w:color w:val="000000" w:themeColor="text1"/>
          <w:sz w:val="22"/>
          <w:szCs w:val="22"/>
        </w:rPr>
        <w:t>), and the disease was named coronavirus disease 2019 (COVID-19) by the WHO.</w:t>
      </w:r>
    </w:p>
    <w:p w14:paraId="4DC35588" w14:textId="77777777" w:rsidR="00B60797" w:rsidRDefault="00B60797" w:rsidP="00B60797">
      <w:pPr>
        <w:pStyle w:val="Heading1"/>
        <w:spacing w:before="0" w:line="240" w:lineRule="auto"/>
        <w:jc w:val="both"/>
        <w:rPr>
          <w:rFonts w:ascii="Times New Roman" w:eastAsiaTheme="minorHAnsi" w:hAnsi="Times New Roman" w:cs="Times New Roman"/>
          <w:b/>
          <w:color w:val="000000" w:themeColor="text1"/>
          <w:sz w:val="22"/>
          <w:szCs w:val="22"/>
        </w:rPr>
      </w:pPr>
    </w:p>
    <w:p w14:paraId="59B50EE8" w14:textId="77777777" w:rsidR="00B60797" w:rsidRPr="00A05D25" w:rsidRDefault="00B60797" w:rsidP="00B60797">
      <w:pPr>
        <w:pStyle w:val="Heading1"/>
        <w:spacing w:before="0" w:line="240" w:lineRule="auto"/>
        <w:jc w:val="both"/>
        <w:rPr>
          <w:rFonts w:ascii="Times New Roman" w:eastAsiaTheme="minorHAnsi" w:hAnsi="Times New Roman" w:cs="Times New Roman"/>
          <w:b/>
          <w:color w:val="000000" w:themeColor="text1"/>
          <w:sz w:val="22"/>
          <w:szCs w:val="22"/>
        </w:rPr>
      </w:pPr>
      <w:r w:rsidRPr="009D57D7">
        <w:rPr>
          <w:rFonts w:ascii="Times New Roman" w:eastAsiaTheme="minorHAnsi" w:hAnsi="Times New Roman" w:cs="Times New Roman"/>
          <w:color w:val="000000" w:themeColor="text1"/>
          <w:sz w:val="22"/>
          <w:szCs w:val="22"/>
        </w:rPr>
        <w:t xml:space="preserve">As of 30 January 2020, 7736 confirmed and 12,167 suspected cases had been reported in China and 82 confirmed cases were detected in 18 other countries </w:t>
      </w:r>
      <w:r w:rsidRPr="00A05D25">
        <w:rPr>
          <w:rFonts w:ascii="Times New Roman" w:eastAsiaTheme="minorHAnsi" w:hAnsi="Times New Roman" w:cs="Times New Roman"/>
          <w:color w:val="000000" w:themeColor="text1"/>
          <w:sz w:val="22"/>
          <w:szCs w:val="22"/>
        </w:rPr>
        <w:t>(</w:t>
      </w:r>
      <w:proofErr w:type="spellStart"/>
      <w:r w:rsidRPr="00A05D25">
        <w:rPr>
          <w:rFonts w:ascii="Times New Roman" w:eastAsiaTheme="minorHAnsi" w:hAnsi="Times New Roman" w:cs="Times New Roman"/>
          <w:color w:val="000000" w:themeColor="text1"/>
          <w:sz w:val="22"/>
          <w:szCs w:val="22"/>
        </w:rPr>
        <w:t>Burki</w:t>
      </w:r>
      <w:proofErr w:type="spellEnd"/>
      <w:r w:rsidRPr="00A05D25">
        <w:rPr>
          <w:rFonts w:ascii="Times New Roman" w:eastAsiaTheme="minorHAnsi" w:hAnsi="Times New Roman" w:cs="Times New Roman"/>
          <w:color w:val="000000" w:themeColor="text1"/>
          <w:sz w:val="22"/>
          <w:szCs w:val="22"/>
        </w:rPr>
        <w:t xml:space="preserve"> et al., 2020). In the same day, WHO declared the SARS-CoV-2 outbreak as a Public Health Emergency of International Concern (PHEIC) (</w:t>
      </w:r>
      <w:proofErr w:type="spellStart"/>
      <w:r w:rsidRPr="00A05D25">
        <w:rPr>
          <w:rFonts w:ascii="Times New Roman" w:eastAsiaTheme="minorHAnsi" w:hAnsi="Times New Roman" w:cs="Times New Roman"/>
          <w:color w:val="000000" w:themeColor="text1"/>
          <w:sz w:val="22"/>
          <w:szCs w:val="22"/>
        </w:rPr>
        <w:t>Burki</w:t>
      </w:r>
      <w:proofErr w:type="spellEnd"/>
      <w:r w:rsidRPr="00A05D25">
        <w:rPr>
          <w:rFonts w:ascii="Times New Roman" w:eastAsiaTheme="minorHAnsi" w:hAnsi="Times New Roman" w:cs="Times New Roman"/>
          <w:color w:val="000000" w:themeColor="text1"/>
          <w:sz w:val="22"/>
          <w:szCs w:val="22"/>
        </w:rPr>
        <w:t xml:space="preserve"> et al., 2020). As of 13 December 2021, coronavirus was spread in 222 countries and territories with 269,468,311 confirmed cases of COVID-19 and 5,304,248 deaths (WHO, 2021). Bangladesh is not also an exception. On 8 March 2020, the first case of COVID-19 was confirmed in Bangladesh. Between 8 March and 15 May 2020, according to the Directorate General of Health Services (DGHS) on behalf of the Ministry of Health in Bangladesh, there were 20,065 COVID-19 confirmed cases by rt-PCR including 298 related death cases where the case fatality rate (CFR) was 1.48%, highest confirm case was identified on 15 May which was 1202 and highest death was figured out on 13 May, </w:t>
      </w:r>
      <w:proofErr w:type="gramStart"/>
      <w:r w:rsidRPr="00A05D25">
        <w:rPr>
          <w:rFonts w:ascii="Times New Roman" w:eastAsiaTheme="minorHAnsi" w:hAnsi="Times New Roman" w:cs="Times New Roman"/>
          <w:color w:val="000000" w:themeColor="text1"/>
          <w:sz w:val="22"/>
          <w:szCs w:val="22"/>
        </w:rPr>
        <w:t>2020  (</w:t>
      </w:r>
      <w:proofErr w:type="gramEnd"/>
      <w:r w:rsidRPr="00A05D25">
        <w:rPr>
          <w:rFonts w:ascii="Times New Roman" w:eastAsiaTheme="minorHAnsi" w:hAnsi="Times New Roman" w:cs="Times New Roman"/>
          <w:color w:val="000000" w:themeColor="text1"/>
          <w:sz w:val="22"/>
          <w:szCs w:val="22"/>
        </w:rPr>
        <w:t xml:space="preserve">Hossain et al., 2020). The pandemic of COVID-19 badly affected in Bangladesh likewise other countries. The government tried its best to tackle this devastating situation. According to WHO Bangladesh report, </w:t>
      </w:r>
      <w:r w:rsidRPr="00A05D25">
        <w:rPr>
          <w:rFonts w:ascii="Times New Roman" w:hAnsi="Times New Roman" w:cs="Times New Roman"/>
          <w:color w:val="000000" w:themeColor="text1"/>
          <w:sz w:val="22"/>
          <w:szCs w:val="22"/>
        </w:rPr>
        <w:t xml:space="preserve">there were </w:t>
      </w:r>
      <w:r w:rsidRPr="00A05D25">
        <w:rPr>
          <w:rStyle w:val="sc-provx"/>
          <w:rFonts w:ascii="Times New Roman" w:hAnsi="Times New Roman" w:cs="Times New Roman"/>
          <w:color w:val="000000" w:themeColor="text1"/>
          <w:sz w:val="22"/>
          <w:szCs w:val="22"/>
        </w:rPr>
        <w:t>1,579,710 confirmed cases</w:t>
      </w:r>
      <w:r w:rsidRPr="00A05D25">
        <w:rPr>
          <w:rFonts w:ascii="Times New Roman" w:hAnsi="Times New Roman" w:cs="Times New Roman"/>
          <w:color w:val="000000" w:themeColor="text1"/>
          <w:sz w:val="22"/>
          <w:szCs w:val="22"/>
        </w:rPr>
        <w:t> of COVID-19 with </w:t>
      </w:r>
      <w:r w:rsidRPr="00A05D25">
        <w:rPr>
          <w:rStyle w:val="sc-provx"/>
          <w:rFonts w:ascii="Times New Roman" w:hAnsi="Times New Roman" w:cs="Times New Roman"/>
          <w:color w:val="000000" w:themeColor="text1"/>
          <w:sz w:val="22"/>
          <w:szCs w:val="22"/>
        </w:rPr>
        <w:t>28,031 deaths</w:t>
      </w:r>
      <w:r w:rsidRPr="00A05D25">
        <w:rPr>
          <w:rFonts w:ascii="Times New Roman" w:eastAsiaTheme="minorHAnsi" w:hAnsi="Times New Roman" w:cs="Times New Roman"/>
          <w:color w:val="000000" w:themeColor="text1"/>
          <w:sz w:val="22"/>
          <w:szCs w:val="22"/>
        </w:rPr>
        <w:t xml:space="preserve"> in Bangladesh between 03 January 2020 to 13 December 2021 COVID-19, 2021).</w:t>
      </w:r>
    </w:p>
    <w:p w14:paraId="1209C595" w14:textId="77777777" w:rsidR="00B60797" w:rsidRPr="009500C4" w:rsidRDefault="00B60797" w:rsidP="00B60797">
      <w:pPr>
        <w:spacing w:after="0" w:line="240" w:lineRule="auto"/>
        <w:jc w:val="both"/>
        <w:rPr>
          <w:rFonts w:ascii="Times New Roman" w:hAnsi="Times New Roman" w:cs="Times New Roman"/>
          <w:color w:val="000000" w:themeColor="text1"/>
          <w:sz w:val="12"/>
        </w:rPr>
      </w:pPr>
    </w:p>
    <w:p w14:paraId="1BED9CCE" w14:textId="77777777" w:rsidR="00B60797" w:rsidRDefault="00B60797" w:rsidP="00B60797">
      <w:pPr>
        <w:spacing w:after="0" w:line="240" w:lineRule="auto"/>
        <w:jc w:val="both"/>
      </w:pPr>
      <w:r w:rsidRPr="009500C4">
        <w:rPr>
          <w:rFonts w:ascii="Times New Roman" w:hAnsi="Times New Roman" w:cs="Times New Roman"/>
          <w:color w:val="000000" w:themeColor="text1"/>
        </w:rPr>
        <w:t xml:space="preserve">Later </w:t>
      </w:r>
      <w:proofErr w:type="gramStart"/>
      <w:r w:rsidRPr="009500C4">
        <w:rPr>
          <w:rFonts w:ascii="Times New Roman" w:hAnsi="Times New Roman" w:cs="Times New Roman"/>
          <w:color w:val="000000" w:themeColor="text1"/>
        </w:rPr>
        <w:t>on</w:t>
      </w:r>
      <w:proofErr w:type="gramEnd"/>
      <w:r w:rsidRPr="009500C4">
        <w:rPr>
          <w:rFonts w:ascii="Times New Roman" w:hAnsi="Times New Roman" w:cs="Times New Roman"/>
          <w:color w:val="000000" w:themeColor="text1"/>
        </w:rPr>
        <w:t xml:space="preserve"> vaccines from various sources were introduced in Bangladesh and the number of COVID-19 cases and death rate due to COVID-19 were reduced significantly. Yet, parallel treatment for COVID-19 infected patients was practiced with the repurposing of</w:t>
      </w:r>
    </w:p>
    <w:p w14:paraId="05A53CBE" w14:textId="77777777" w:rsidR="00B60797" w:rsidRPr="00687F38" w:rsidRDefault="00B60797" w:rsidP="00B60797">
      <w:pPr>
        <w:spacing w:after="0" w:line="240" w:lineRule="auto"/>
        <w:jc w:val="both"/>
        <w:rPr>
          <w:rFonts w:ascii="Times New Roman" w:hAnsi="Times New Roman" w:cs="Times New Roman"/>
          <w:color w:val="000000" w:themeColor="text1"/>
        </w:rPr>
      </w:pPr>
      <w:r w:rsidRPr="009500C4">
        <w:rPr>
          <w:rFonts w:ascii="Times New Roman" w:hAnsi="Times New Roman" w:cs="Times New Roman"/>
          <w:color w:val="000000" w:themeColor="text1"/>
        </w:rPr>
        <w:t>drugs and other treatment mentioned earlier. However, diversity of SARS-CoV-2 and frequent change of new variants was a great challenge towards</w:t>
      </w:r>
      <w:r>
        <w:rPr>
          <w:rFonts w:ascii="Times New Roman" w:hAnsi="Times New Roman" w:cs="Times New Roman"/>
          <w:color w:val="000000" w:themeColor="text1"/>
        </w:rPr>
        <w:t xml:space="preserve"> </w:t>
      </w:r>
      <w:r w:rsidRPr="009500C4">
        <w:rPr>
          <w:rFonts w:ascii="Times New Roman" w:hAnsi="Times New Roman" w:cs="Times New Roman"/>
          <w:color w:val="000000" w:themeColor="text1"/>
        </w:rPr>
        <w:t>the effectiveness</w:t>
      </w:r>
      <w:r>
        <w:rPr>
          <w:rFonts w:ascii="Times New Roman" w:hAnsi="Times New Roman" w:cs="Times New Roman"/>
          <w:color w:val="000000" w:themeColor="text1"/>
        </w:rPr>
        <w:t xml:space="preserve"> </w:t>
      </w:r>
      <w:r w:rsidRPr="009500C4">
        <w:rPr>
          <w:rFonts w:ascii="Times New Roman" w:hAnsi="Times New Roman" w:cs="Times New Roman"/>
          <w:color w:val="000000" w:themeColor="text1"/>
        </w:rPr>
        <w:t xml:space="preserve">of vaccines [8]. Furthermore, adequate production, allocation, storage conditions and affordable prices for purchasing were some of the major challenges in the way of sufficient production, supply, and chain management and to ensure its efficacy and safety </w:t>
      </w:r>
      <w:r w:rsidRPr="009A4863">
        <w:rPr>
          <w:color w:val="000000" w:themeColor="text1"/>
          <w:sz w:val="24"/>
          <w:szCs w:val="24"/>
        </w:rPr>
        <w:t>(</w:t>
      </w:r>
      <w:r w:rsidRPr="00687F38">
        <w:rPr>
          <w:rFonts w:ascii="Times New Roman" w:hAnsi="Times New Roman" w:cs="Times New Roman"/>
          <w:color w:val="000000" w:themeColor="text1"/>
        </w:rPr>
        <w:t xml:space="preserve">Polack et al., 2020; </w:t>
      </w:r>
      <w:proofErr w:type="spellStart"/>
      <w:r w:rsidRPr="00687F38">
        <w:rPr>
          <w:rFonts w:ascii="Times New Roman" w:hAnsi="Times New Roman" w:cs="Times New Roman"/>
          <w:color w:val="000000" w:themeColor="text1"/>
        </w:rPr>
        <w:t>Folegatti</w:t>
      </w:r>
      <w:proofErr w:type="spellEnd"/>
      <w:r w:rsidRPr="00687F38">
        <w:rPr>
          <w:rFonts w:ascii="Times New Roman" w:hAnsi="Times New Roman" w:cs="Times New Roman"/>
          <w:color w:val="000000" w:themeColor="text1"/>
        </w:rPr>
        <w:t xml:space="preserve"> et al., 2020; </w:t>
      </w:r>
      <w:proofErr w:type="spellStart"/>
      <w:r w:rsidRPr="00687F38">
        <w:rPr>
          <w:rFonts w:ascii="Times New Roman" w:hAnsi="Times New Roman" w:cs="Times New Roman"/>
          <w:color w:val="000000" w:themeColor="text1"/>
        </w:rPr>
        <w:t>Wouters</w:t>
      </w:r>
      <w:proofErr w:type="spellEnd"/>
      <w:r w:rsidRPr="00687F38">
        <w:rPr>
          <w:rFonts w:ascii="Times New Roman" w:hAnsi="Times New Roman" w:cs="Times New Roman"/>
          <w:color w:val="000000" w:themeColor="text1"/>
        </w:rPr>
        <w:t xml:space="preserve"> et al., 2021; </w:t>
      </w:r>
      <w:proofErr w:type="spellStart"/>
      <w:r w:rsidRPr="00687F38">
        <w:rPr>
          <w:rFonts w:ascii="Times New Roman" w:hAnsi="Times New Roman" w:cs="Times New Roman"/>
          <w:color w:val="000000" w:themeColor="text1"/>
        </w:rPr>
        <w:t>Hossen</w:t>
      </w:r>
      <w:proofErr w:type="spellEnd"/>
      <w:r w:rsidRPr="00687F38">
        <w:rPr>
          <w:rFonts w:ascii="Times New Roman" w:hAnsi="Times New Roman" w:cs="Times New Roman"/>
          <w:color w:val="000000" w:themeColor="text1"/>
        </w:rPr>
        <w:t xml:space="preserve"> et al., 2020).</w:t>
      </w:r>
    </w:p>
    <w:p w14:paraId="2F17F774" w14:textId="77777777" w:rsidR="00B60797" w:rsidRPr="009500C4" w:rsidRDefault="00B60797" w:rsidP="00B60797">
      <w:pPr>
        <w:pStyle w:val="Heading1"/>
        <w:spacing w:before="0" w:line="240" w:lineRule="auto"/>
        <w:jc w:val="both"/>
        <w:rPr>
          <w:rFonts w:ascii="Times New Roman" w:eastAsiaTheme="minorHAnsi" w:hAnsi="Times New Roman" w:cs="Times New Roman"/>
          <w:b/>
          <w:color w:val="000000" w:themeColor="text1"/>
          <w:sz w:val="12"/>
          <w:szCs w:val="22"/>
        </w:rPr>
      </w:pPr>
    </w:p>
    <w:p w14:paraId="457CD9FB" w14:textId="77777777" w:rsidR="00B60797" w:rsidRPr="00687F38" w:rsidRDefault="00B60797" w:rsidP="00B60797">
      <w:pPr>
        <w:pStyle w:val="Heading1"/>
        <w:spacing w:before="0" w:line="240" w:lineRule="auto"/>
        <w:jc w:val="both"/>
        <w:rPr>
          <w:rFonts w:ascii="Times New Roman" w:eastAsiaTheme="minorHAnsi" w:hAnsi="Times New Roman" w:cs="Times New Roman"/>
          <w:b/>
          <w:color w:val="000000" w:themeColor="text1"/>
          <w:sz w:val="22"/>
          <w:szCs w:val="22"/>
        </w:rPr>
      </w:pPr>
      <w:r w:rsidRPr="009500C4">
        <w:rPr>
          <w:rFonts w:ascii="Times New Roman" w:eastAsiaTheme="minorHAnsi" w:hAnsi="Times New Roman" w:cs="Times New Roman"/>
          <w:color w:val="000000" w:themeColor="text1"/>
          <w:sz w:val="22"/>
          <w:szCs w:val="22"/>
        </w:rPr>
        <w:t xml:space="preserve">Prior to sufficient availability and supply of COVID-19 vaccines, the only treatment options for COVID-19 patients </w:t>
      </w:r>
      <w:proofErr w:type="gramStart"/>
      <w:r w:rsidRPr="009500C4">
        <w:rPr>
          <w:rFonts w:ascii="Times New Roman" w:eastAsiaTheme="minorHAnsi" w:hAnsi="Times New Roman" w:cs="Times New Roman"/>
          <w:color w:val="000000" w:themeColor="text1"/>
          <w:sz w:val="22"/>
          <w:szCs w:val="22"/>
        </w:rPr>
        <w:t>was</w:t>
      </w:r>
      <w:proofErr w:type="gramEnd"/>
      <w:r w:rsidRPr="009500C4">
        <w:rPr>
          <w:rFonts w:ascii="Times New Roman" w:eastAsiaTheme="minorHAnsi" w:hAnsi="Times New Roman" w:cs="Times New Roman"/>
          <w:color w:val="000000" w:themeColor="text1"/>
          <w:sz w:val="22"/>
          <w:szCs w:val="22"/>
        </w:rPr>
        <w:t xml:space="preserve"> repurposing of drugs. The recovery rate of COVID-19 patients could be increased by applying several evidence-based repurposed antiviral drugs that slow down the replication of SARS-CoV-2 and/o</w:t>
      </w:r>
      <w:r>
        <w:rPr>
          <w:rFonts w:ascii="Times New Roman" w:eastAsiaTheme="minorHAnsi" w:hAnsi="Times New Roman" w:cs="Times New Roman"/>
          <w:color w:val="000000" w:themeColor="text1"/>
          <w:sz w:val="22"/>
          <w:szCs w:val="22"/>
        </w:rPr>
        <w:t xml:space="preserve">r decrease disease symptoms </w:t>
      </w:r>
      <w:r w:rsidRPr="00687F38">
        <w:rPr>
          <w:rFonts w:ascii="Times New Roman" w:eastAsiaTheme="minorHAnsi" w:hAnsi="Times New Roman" w:cs="Times New Roman"/>
          <w:color w:val="000000" w:themeColor="text1"/>
          <w:sz w:val="22"/>
          <w:szCs w:val="22"/>
        </w:rPr>
        <w:t xml:space="preserve">(Hossain et al., 2021). According to NIH guidelines, the recommended repurposing drugs that could be used in COVID-19 patients were </w:t>
      </w:r>
      <w:proofErr w:type="spellStart"/>
      <w:r w:rsidRPr="00687F38">
        <w:rPr>
          <w:rFonts w:ascii="Times New Roman" w:eastAsiaTheme="minorHAnsi" w:hAnsi="Times New Roman" w:cs="Times New Roman"/>
          <w:color w:val="000000" w:themeColor="text1"/>
          <w:sz w:val="22"/>
          <w:szCs w:val="22"/>
        </w:rPr>
        <w:t>Remdisivir</w:t>
      </w:r>
      <w:proofErr w:type="spellEnd"/>
      <w:r w:rsidRPr="00687F38">
        <w:rPr>
          <w:rFonts w:ascii="Times New Roman" w:eastAsiaTheme="minorHAnsi" w:hAnsi="Times New Roman" w:cs="Times New Roman"/>
          <w:color w:val="000000" w:themeColor="text1"/>
          <w:sz w:val="22"/>
          <w:szCs w:val="22"/>
        </w:rPr>
        <w:t xml:space="preserve">, Dexamethasone (alternatively prednisolone or methylprednisolone could be used) and </w:t>
      </w:r>
      <w:proofErr w:type="spellStart"/>
      <w:r w:rsidRPr="00687F38">
        <w:rPr>
          <w:rFonts w:ascii="Times New Roman" w:eastAsiaTheme="minorHAnsi" w:hAnsi="Times New Roman" w:cs="Times New Roman"/>
          <w:color w:val="000000" w:themeColor="text1"/>
          <w:sz w:val="22"/>
          <w:szCs w:val="22"/>
        </w:rPr>
        <w:t>Baricitinib</w:t>
      </w:r>
      <w:proofErr w:type="spellEnd"/>
      <w:r w:rsidRPr="00687F38">
        <w:rPr>
          <w:rFonts w:ascii="Times New Roman" w:eastAsiaTheme="minorHAnsi" w:hAnsi="Times New Roman" w:cs="Times New Roman"/>
          <w:color w:val="000000" w:themeColor="text1"/>
          <w:sz w:val="22"/>
          <w:szCs w:val="22"/>
        </w:rPr>
        <w:t xml:space="preserve">, used evaluating the conditions of the patients. WHO recommended differently towards the treatment </w:t>
      </w:r>
      <w:proofErr w:type="gramStart"/>
      <w:r w:rsidRPr="00687F38">
        <w:rPr>
          <w:rFonts w:ascii="Times New Roman" w:eastAsiaTheme="minorHAnsi" w:hAnsi="Times New Roman" w:cs="Times New Roman"/>
          <w:color w:val="000000" w:themeColor="text1"/>
          <w:sz w:val="22"/>
          <w:szCs w:val="22"/>
        </w:rPr>
        <w:t>procedure.</w:t>
      </w:r>
      <w:proofErr w:type="gramEnd"/>
      <w:r w:rsidRPr="00687F38">
        <w:rPr>
          <w:rFonts w:ascii="Times New Roman" w:eastAsiaTheme="minorHAnsi" w:hAnsi="Times New Roman" w:cs="Times New Roman"/>
          <w:color w:val="000000" w:themeColor="text1"/>
          <w:sz w:val="22"/>
          <w:szCs w:val="22"/>
        </w:rPr>
        <w:t xml:space="preserve"> </w:t>
      </w:r>
      <w:proofErr w:type="spellStart"/>
      <w:r w:rsidRPr="00687F38">
        <w:rPr>
          <w:rFonts w:ascii="Times New Roman" w:eastAsiaTheme="minorHAnsi" w:hAnsi="Times New Roman" w:cs="Times New Roman"/>
          <w:color w:val="000000" w:themeColor="text1"/>
          <w:sz w:val="22"/>
          <w:szCs w:val="22"/>
        </w:rPr>
        <w:t>Remdisivir</w:t>
      </w:r>
      <w:proofErr w:type="spellEnd"/>
      <w:r w:rsidRPr="00687F38">
        <w:rPr>
          <w:rFonts w:ascii="Times New Roman" w:eastAsiaTheme="minorHAnsi" w:hAnsi="Times New Roman" w:cs="Times New Roman"/>
          <w:color w:val="000000" w:themeColor="text1"/>
          <w:sz w:val="22"/>
          <w:szCs w:val="22"/>
        </w:rPr>
        <w:t xml:space="preserve">, hydroxychloroquine, azithromycin </w:t>
      </w:r>
      <w:proofErr w:type="gramStart"/>
      <w:r w:rsidRPr="00687F38">
        <w:rPr>
          <w:rFonts w:ascii="Times New Roman" w:eastAsiaTheme="minorHAnsi" w:hAnsi="Times New Roman" w:cs="Times New Roman"/>
          <w:color w:val="000000" w:themeColor="text1"/>
          <w:sz w:val="22"/>
          <w:szCs w:val="22"/>
        </w:rPr>
        <w:t>were</w:t>
      </w:r>
      <w:proofErr w:type="gramEnd"/>
      <w:r w:rsidRPr="00687F38">
        <w:rPr>
          <w:rFonts w:ascii="Times New Roman" w:eastAsiaTheme="minorHAnsi" w:hAnsi="Times New Roman" w:cs="Times New Roman"/>
          <w:color w:val="000000" w:themeColor="text1"/>
          <w:sz w:val="22"/>
          <w:szCs w:val="22"/>
        </w:rPr>
        <w:t xml:space="preserve"> recommended for the COVID-19 patients. Later on, </w:t>
      </w:r>
      <w:proofErr w:type="spellStart"/>
      <w:r w:rsidRPr="00687F38">
        <w:rPr>
          <w:rFonts w:ascii="Times New Roman" w:eastAsiaTheme="minorHAnsi" w:hAnsi="Times New Roman" w:cs="Times New Roman"/>
          <w:color w:val="000000" w:themeColor="text1"/>
          <w:sz w:val="22"/>
          <w:szCs w:val="22"/>
        </w:rPr>
        <w:t>Remdisivir</w:t>
      </w:r>
      <w:proofErr w:type="spellEnd"/>
      <w:r w:rsidRPr="00687F38">
        <w:rPr>
          <w:rFonts w:ascii="Times New Roman" w:eastAsiaTheme="minorHAnsi" w:hAnsi="Times New Roman" w:cs="Times New Roman"/>
          <w:color w:val="000000" w:themeColor="text1"/>
          <w:sz w:val="22"/>
          <w:szCs w:val="22"/>
        </w:rPr>
        <w:t xml:space="preserve"> and hydroxychloroquine were withdrawn from the suggested guideline, the later was suspected to cause various heart diseases (</w:t>
      </w:r>
      <w:proofErr w:type="spellStart"/>
      <w:r w:rsidRPr="00687F38">
        <w:rPr>
          <w:rFonts w:ascii="Times New Roman" w:hAnsi="Times New Roman" w:cs="Times New Roman"/>
          <w:color w:val="000000" w:themeColor="text1"/>
          <w:sz w:val="22"/>
          <w:szCs w:val="22"/>
        </w:rPr>
        <w:t>Lepere</w:t>
      </w:r>
      <w:proofErr w:type="spellEnd"/>
      <w:r w:rsidRPr="00687F38">
        <w:rPr>
          <w:rFonts w:ascii="Times New Roman" w:hAnsi="Times New Roman" w:cs="Times New Roman"/>
          <w:color w:val="000000" w:themeColor="text1"/>
          <w:sz w:val="22"/>
          <w:szCs w:val="22"/>
        </w:rPr>
        <w:t xml:space="preserve"> et al., 2021; </w:t>
      </w:r>
      <w:proofErr w:type="spellStart"/>
      <w:r w:rsidRPr="00687F38">
        <w:rPr>
          <w:rFonts w:ascii="Times New Roman" w:hAnsi="Times New Roman" w:cs="Times New Roman"/>
          <w:color w:val="000000" w:themeColor="text1"/>
          <w:sz w:val="22"/>
          <w:szCs w:val="22"/>
        </w:rPr>
        <w:t>Alam</w:t>
      </w:r>
      <w:proofErr w:type="spellEnd"/>
      <w:r w:rsidRPr="00687F38">
        <w:rPr>
          <w:rFonts w:ascii="Times New Roman" w:hAnsi="Times New Roman" w:cs="Times New Roman"/>
          <w:color w:val="000000" w:themeColor="text1"/>
          <w:sz w:val="22"/>
          <w:szCs w:val="22"/>
        </w:rPr>
        <w:t xml:space="preserve"> et al., 2021</w:t>
      </w:r>
      <w:r w:rsidRPr="00687F38">
        <w:rPr>
          <w:rFonts w:ascii="Times New Roman" w:eastAsiaTheme="minorHAnsi" w:hAnsi="Times New Roman" w:cs="Times New Roman"/>
          <w:color w:val="000000" w:themeColor="text1"/>
          <w:sz w:val="22"/>
          <w:szCs w:val="22"/>
        </w:rPr>
        <w:t xml:space="preserve">). According to NIH guidelines, </w:t>
      </w:r>
      <w:proofErr w:type="spellStart"/>
      <w:r w:rsidRPr="00687F38">
        <w:rPr>
          <w:rFonts w:ascii="Times New Roman" w:eastAsiaTheme="minorHAnsi" w:hAnsi="Times New Roman" w:cs="Times New Roman"/>
          <w:color w:val="000000" w:themeColor="text1"/>
          <w:sz w:val="22"/>
          <w:szCs w:val="22"/>
        </w:rPr>
        <w:t>Remdisivir</w:t>
      </w:r>
      <w:proofErr w:type="spellEnd"/>
      <w:r w:rsidRPr="00687F38">
        <w:rPr>
          <w:rFonts w:ascii="Times New Roman" w:eastAsiaTheme="minorHAnsi" w:hAnsi="Times New Roman" w:cs="Times New Roman"/>
          <w:color w:val="000000" w:themeColor="text1"/>
          <w:sz w:val="22"/>
          <w:szCs w:val="22"/>
        </w:rPr>
        <w:t xml:space="preserve"> can be considered administering to inpatient hospital with constant monitoring in severe cases, though renal insufficiency is a major point of contraindication in this usage (NIH, 2021). The treatment pattern in Bangladesh was represented in the website of the directorate general of health services (DGHS), Government of the Peoples’ Republic of Bangladesh, where several drugs were recommended for the treatment purposes of COVID-19 patients. Based on the severity and symptoms, the drugs such as, Paracetamol, Chloroquine, </w:t>
      </w:r>
      <w:proofErr w:type="spellStart"/>
      <w:r w:rsidRPr="00687F38">
        <w:rPr>
          <w:rFonts w:ascii="Times New Roman" w:eastAsiaTheme="minorHAnsi" w:hAnsi="Times New Roman" w:cs="Times New Roman"/>
          <w:color w:val="000000" w:themeColor="text1"/>
          <w:sz w:val="22"/>
          <w:szCs w:val="22"/>
        </w:rPr>
        <w:t>Remdisivir</w:t>
      </w:r>
      <w:proofErr w:type="spellEnd"/>
      <w:r w:rsidRPr="00687F38">
        <w:rPr>
          <w:rFonts w:ascii="Times New Roman" w:eastAsiaTheme="minorHAnsi" w:hAnsi="Times New Roman" w:cs="Times New Roman"/>
          <w:color w:val="000000" w:themeColor="text1"/>
          <w:sz w:val="22"/>
          <w:szCs w:val="22"/>
        </w:rPr>
        <w:t>, Corticosteroids, Favipiravir, Tocilizumab, Interleukin, etc. were recommended in this guideline (NIH, 2021; Rahman and Rahman, 2020</w:t>
      </w:r>
      <w:proofErr w:type="gramStart"/>
      <w:r w:rsidRPr="00687F38">
        <w:rPr>
          <w:rFonts w:ascii="Times New Roman" w:eastAsiaTheme="minorHAnsi" w:hAnsi="Times New Roman" w:cs="Times New Roman"/>
          <w:color w:val="000000" w:themeColor="text1"/>
          <w:sz w:val="22"/>
          <w:szCs w:val="22"/>
        </w:rPr>
        <w:t>)..</w:t>
      </w:r>
      <w:proofErr w:type="gramEnd"/>
      <w:r w:rsidRPr="00687F38">
        <w:rPr>
          <w:rFonts w:ascii="Times New Roman" w:eastAsiaTheme="minorHAnsi" w:hAnsi="Times New Roman" w:cs="Times New Roman"/>
          <w:color w:val="000000" w:themeColor="text1"/>
          <w:sz w:val="22"/>
          <w:szCs w:val="22"/>
        </w:rPr>
        <w:t xml:space="preserve"> </w:t>
      </w:r>
    </w:p>
    <w:p w14:paraId="61C35EE7" w14:textId="77777777" w:rsidR="00B60797" w:rsidRPr="00687F38" w:rsidRDefault="00B60797" w:rsidP="00B60797">
      <w:pPr>
        <w:spacing w:after="0" w:line="240" w:lineRule="auto"/>
        <w:jc w:val="both"/>
        <w:rPr>
          <w:sz w:val="12"/>
        </w:rPr>
      </w:pPr>
    </w:p>
    <w:p w14:paraId="1F1CB344" w14:textId="77777777" w:rsidR="00B60797" w:rsidRPr="00687F38" w:rsidRDefault="00B60797" w:rsidP="00B60797">
      <w:pPr>
        <w:spacing w:before="240" w:after="120" w:line="240" w:lineRule="auto"/>
        <w:jc w:val="both"/>
        <w:rPr>
          <w:rFonts w:ascii="Times New Roman" w:hAnsi="Times New Roman" w:cs="Times New Roman"/>
          <w:color w:val="000000" w:themeColor="text1"/>
        </w:rPr>
      </w:pPr>
      <w:r w:rsidRPr="00687F38">
        <w:rPr>
          <w:rFonts w:ascii="Times New Roman" w:hAnsi="Times New Roman" w:cs="Times New Roman"/>
          <w:color w:val="000000" w:themeColor="text1"/>
        </w:rPr>
        <w:t>In Bangladesh, the prevention and treatment of COVID-19 was managed by a blend of repurposing of drugs, immunization, oxygen and ventilation support and by applying traditional practice and intake of vitamins and other supplements.</w:t>
      </w:r>
      <w:r>
        <w:rPr>
          <w:rFonts w:ascii="Times New Roman" w:hAnsi="Times New Roman" w:cs="Times New Roman"/>
          <w:color w:val="000000" w:themeColor="text1"/>
        </w:rPr>
        <w:t xml:space="preserve"> </w:t>
      </w:r>
      <w:r w:rsidRPr="00687F38">
        <w:rPr>
          <w:rFonts w:ascii="Times New Roman" w:hAnsi="Times New Roman" w:cs="Times New Roman"/>
          <w:color w:val="000000" w:themeColor="text1"/>
        </w:rPr>
        <w:t>However, enough research has not been conducted so far to present a clear picture on the clinical practice,</w:t>
      </w:r>
      <w:r>
        <w:rPr>
          <w:rFonts w:ascii="Times New Roman" w:hAnsi="Times New Roman" w:cs="Times New Roman"/>
          <w:color w:val="000000" w:themeColor="text1"/>
        </w:rPr>
        <w:t xml:space="preserve"> </w:t>
      </w:r>
      <w:r w:rsidRPr="00687F38">
        <w:rPr>
          <w:rFonts w:ascii="Times New Roman" w:hAnsi="Times New Roman" w:cs="Times New Roman"/>
          <w:color w:val="000000" w:themeColor="text1"/>
        </w:rPr>
        <w:t>treatment pattern and medications used for the management of COVID-19 patients in Bangladesh</w:t>
      </w:r>
      <w:r>
        <w:rPr>
          <w:rFonts w:ascii="Times New Roman" w:hAnsi="Times New Roman" w:cs="Times New Roman"/>
          <w:color w:val="000000" w:themeColor="text1"/>
        </w:rPr>
        <w:t xml:space="preserve"> </w:t>
      </w:r>
      <w:r w:rsidRPr="00687F38">
        <w:rPr>
          <w:rFonts w:ascii="Times New Roman" w:hAnsi="Times New Roman" w:cs="Times New Roman"/>
          <w:color w:val="000000" w:themeColor="text1"/>
        </w:rPr>
        <w:t>as well as nobody has justified those practice with the</w:t>
      </w:r>
      <w:r>
        <w:rPr>
          <w:rFonts w:ascii="Times New Roman" w:hAnsi="Times New Roman" w:cs="Times New Roman"/>
          <w:color w:val="000000" w:themeColor="text1"/>
        </w:rPr>
        <w:t xml:space="preserve"> </w:t>
      </w:r>
      <w:r w:rsidRPr="00687F38">
        <w:rPr>
          <w:rFonts w:ascii="Times New Roman" w:hAnsi="Times New Roman" w:cs="Times New Roman"/>
          <w:color w:val="000000" w:themeColor="text1"/>
        </w:rPr>
        <w:t>standard practice and guidelines</w:t>
      </w:r>
      <w:r>
        <w:rPr>
          <w:rFonts w:ascii="Times New Roman" w:hAnsi="Times New Roman" w:cs="Times New Roman"/>
          <w:color w:val="000000" w:themeColor="text1"/>
        </w:rPr>
        <w:t xml:space="preserve"> </w:t>
      </w:r>
      <w:r w:rsidRPr="00687F38">
        <w:rPr>
          <w:rFonts w:ascii="Times New Roman" w:hAnsi="Times New Roman" w:cs="Times New Roman"/>
          <w:color w:val="000000" w:themeColor="text1"/>
        </w:rPr>
        <w:t>given by WHO and/or followed by other developed countries of the world. That’s why the present study was carried out to investigate the medicaments of COVID-19 patients living in Dhaka city in Bangladesh including repurposing and conventional medicines and justify the rationality of the medicines used based on diagnosis, symptoms and underlying co morbidities as well as to compare the WHO and DGHS guidelines.</w:t>
      </w:r>
    </w:p>
    <w:p w14:paraId="10D01B50" w14:textId="77777777" w:rsidR="00B60797" w:rsidRDefault="00B60797" w:rsidP="00B60797">
      <w:pPr>
        <w:pStyle w:val="Heading3"/>
        <w:spacing w:before="240" w:after="120"/>
        <w:rPr>
          <w:sz w:val="32"/>
          <w:szCs w:val="32"/>
        </w:rPr>
      </w:pPr>
    </w:p>
    <w:p w14:paraId="2B15E809" w14:textId="5199B561" w:rsidR="00B60797" w:rsidRPr="00050547" w:rsidRDefault="00B60797" w:rsidP="00B60797">
      <w:pPr>
        <w:pStyle w:val="Heading3"/>
        <w:spacing w:before="240" w:after="120"/>
        <w:rPr>
          <w:sz w:val="32"/>
          <w:szCs w:val="32"/>
        </w:rPr>
      </w:pPr>
      <w:r w:rsidRPr="00050547">
        <w:rPr>
          <w:sz w:val="32"/>
          <w:szCs w:val="32"/>
        </w:rPr>
        <w:t xml:space="preserve">Materials and </w:t>
      </w:r>
      <w:r>
        <w:rPr>
          <w:sz w:val="32"/>
          <w:szCs w:val="32"/>
        </w:rPr>
        <w:t>M</w:t>
      </w:r>
      <w:r w:rsidRPr="00050547">
        <w:rPr>
          <w:sz w:val="32"/>
          <w:szCs w:val="32"/>
        </w:rPr>
        <w:t>ethods</w:t>
      </w:r>
    </w:p>
    <w:p w14:paraId="02735AD2" w14:textId="77777777" w:rsidR="00B60797" w:rsidRPr="002C6969" w:rsidRDefault="00B60797" w:rsidP="00B60797">
      <w:pPr>
        <w:pStyle w:val="Heading2"/>
        <w:keepNext w:val="0"/>
        <w:keepLines w:val="0"/>
        <w:spacing w:before="120" w:line="240" w:lineRule="auto"/>
        <w:jc w:val="both"/>
        <w:rPr>
          <w:rFonts w:ascii="Times New Roman" w:hAnsi="Times New Roman" w:cs="Times New Roman"/>
          <w:color w:val="000000" w:themeColor="text1"/>
          <w:sz w:val="22"/>
          <w:szCs w:val="22"/>
        </w:rPr>
      </w:pPr>
      <w:r w:rsidRPr="002C6969">
        <w:rPr>
          <w:rFonts w:ascii="Times New Roman" w:hAnsi="Times New Roman" w:cs="Times New Roman"/>
          <w:color w:val="000000" w:themeColor="text1"/>
          <w:sz w:val="22"/>
          <w:szCs w:val="22"/>
        </w:rPr>
        <w:t xml:space="preserve">Study subjects, consent, and ethical aspect </w:t>
      </w:r>
    </w:p>
    <w:p w14:paraId="1E6FCA96" w14:textId="77777777" w:rsidR="00B60797" w:rsidRPr="002C6969" w:rsidRDefault="00B60797" w:rsidP="00B60797">
      <w:pPr>
        <w:pStyle w:val="Heading2"/>
        <w:spacing w:before="120" w:line="240" w:lineRule="auto"/>
        <w:jc w:val="both"/>
        <w:rPr>
          <w:rFonts w:ascii="Times New Roman" w:hAnsi="Times New Roman" w:cs="Times New Roman"/>
          <w:b/>
          <w:color w:val="000000" w:themeColor="text1"/>
          <w:sz w:val="22"/>
          <w:szCs w:val="22"/>
        </w:rPr>
      </w:pPr>
      <w:r w:rsidRPr="002C6969">
        <w:rPr>
          <w:rFonts w:ascii="Times New Roman" w:hAnsi="Times New Roman" w:cs="Times New Roman"/>
          <w:color w:val="000000" w:themeColor="text1"/>
          <w:sz w:val="22"/>
          <w:szCs w:val="22"/>
        </w:rPr>
        <w:t>The study participants were representative (184 COVID-19 patients of age 18-80 years) of COVID-19 survivals living at Dhaka city in Bangladesh. The study subjects (COVID-19 patients) were randomly selected from different COVID-19 hospitals, clinics as well as who received treatment staying at home.</w:t>
      </w:r>
      <w:r>
        <w:rPr>
          <w:rFonts w:ascii="Times New Roman" w:hAnsi="Times New Roman" w:cs="Times New Roman"/>
          <w:color w:val="000000" w:themeColor="text1"/>
          <w:sz w:val="22"/>
          <w:szCs w:val="22"/>
        </w:rPr>
        <w:t xml:space="preserve"> </w:t>
      </w:r>
      <w:r w:rsidRPr="002C6969">
        <w:rPr>
          <w:rFonts w:ascii="Times New Roman" w:hAnsi="Times New Roman" w:cs="Times New Roman"/>
          <w:color w:val="000000" w:themeColor="text1"/>
          <w:sz w:val="22"/>
          <w:szCs w:val="22"/>
        </w:rPr>
        <w:t>The consent of the patients was obtained before conducting the study. The objectives, significance, risk and benefits, etc. of the study were explained to the patients before getting their consent for participation in the study. The COVID-19 survivals who could provide written prescription of physicians and willingly agreed to participate were included in the study.</w:t>
      </w:r>
      <w:r>
        <w:rPr>
          <w:rFonts w:ascii="Times New Roman" w:hAnsi="Times New Roman" w:cs="Times New Roman"/>
          <w:color w:val="000000" w:themeColor="text1"/>
          <w:sz w:val="22"/>
          <w:szCs w:val="22"/>
        </w:rPr>
        <w:t xml:space="preserve"> </w:t>
      </w:r>
      <w:r w:rsidRPr="002C6969">
        <w:rPr>
          <w:rFonts w:ascii="Times New Roman" w:hAnsi="Times New Roman" w:cs="Times New Roman"/>
          <w:color w:val="000000" w:themeColor="text1"/>
          <w:sz w:val="22"/>
          <w:szCs w:val="22"/>
        </w:rPr>
        <w:t xml:space="preserve">An ethical approval for the study protocol was obtained from the institutional review board (IRB) for human ethics of the State University of Bangladesh before conducting the study (Protocol approval no: 2020-12-15/SUB/H-ERC/0002). </w:t>
      </w:r>
    </w:p>
    <w:p w14:paraId="41BB9AFC" w14:textId="77777777" w:rsidR="00B60797" w:rsidRPr="002C6969" w:rsidRDefault="00B60797" w:rsidP="00B60797">
      <w:pPr>
        <w:pStyle w:val="Heading2"/>
        <w:spacing w:before="240" w:after="120" w:line="240" w:lineRule="auto"/>
        <w:jc w:val="both"/>
        <w:rPr>
          <w:rFonts w:ascii="Times New Roman" w:hAnsi="Times New Roman" w:cs="Times New Roman"/>
          <w:color w:val="000000" w:themeColor="text1"/>
          <w:sz w:val="22"/>
          <w:szCs w:val="22"/>
        </w:rPr>
      </w:pPr>
      <w:r w:rsidRPr="002C6969">
        <w:rPr>
          <w:rFonts w:ascii="Times New Roman" w:hAnsi="Times New Roman" w:cs="Times New Roman"/>
          <w:color w:val="000000" w:themeColor="text1"/>
          <w:sz w:val="22"/>
          <w:szCs w:val="22"/>
        </w:rPr>
        <w:t>Collection of data</w:t>
      </w:r>
    </w:p>
    <w:p w14:paraId="553592C2" w14:textId="77777777" w:rsidR="00B60797" w:rsidRDefault="00B60797" w:rsidP="00B60797">
      <w:pPr>
        <w:spacing w:before="120" w:after="0" w:line="240" w:lineRule="auto"/>
        <w:jc w:val="both"/>
        <w:rPr>
          <w:rFonts w:ascii="Times New Roman" w:hAnsi="Times New Roman" w:cs="Times New Roman"/>
          <w:color w:val="000000" w:themeColor="text1"/>
        </w:rPr>
      </w:pPr>
      <w:r w:rsidRPr="002C6969">
        <w:rPr>
          <w:rFonts w:ascii="Times New Roman" w:hAnsi="Times New Roman" w:cs="Times New Roman"/>
          <w:color w:val="000000" w:themeColor="text1"/>
        </w:rPr>
        <w:t xml:space="preserve">After getting informed consent, the patients were asked to provide a photocopy or picture of their prescriptions along with other medical reports (if available). </w:t>
      </w:r>
      <w:proofErr w:type="gramStart"/>
      <w:r w:rsidRPr="002C6969">
        <w:rPr>
          <w:rFonts w:ascii="Times New Roman" w:hAnsi="Times New Roman" w:cs="Times New Roman"/>
          <w:color w:val="000000" w:themeColor="text1"/>
        </w:rPr>
        <w:t>Additionally</w:t>
      </w:r>
      <w:proofErr w:type="gramEnd"/>
      <w:r w:rsidRPr="002C6969">
        <w:rPr>
          <w:rFonts w:ascii="Times New Roman" w:hAnsi="Times New Roman" w:cs="Times New Roman"/>
          <w:color w:val="000000" w:themeColor="text1"/>
        </w:rPr>
        <w:t xml:space="preserve"> the patients were also asked about the medicines they have taken (according to or without prescriptions</w:t>
      </w:r>
      <w:r>
        <w:rPr>
          <w:rFonts w:ascii="Times New Roman" w:hAnsi="Times New Roman" w:cs="Times New Roman"/>
          <w:color w:val="000000" w:themeColor="text1"/>
        </w:rPr>
        <w:t xml:space="preserve"> </w:t>
      </w:r>
      <w:r w:rsidRPr="002C6969">
        <w:rPr>
          <w:rFonts w:ascii="Times New Roman" w:hAnsi="Times New Roman" w:cs="Times New Roman"/>
          <w:color w:val="000000" w:themeColor="text1"/>
        </w:rPr>
        <w:t xml:space="preserve">provided by health care practitioners), the dose and dosage regimen of the medicines, and the management policies followed by them throughout the treatment period. Besides, the severity of their diseases, complications, and other questions relating to COVID-19 and </w:t>
      </w:r>
      <w:proofErr w:type="gramStart"/>
      <w:r w:rsidRPr="002C6969">
        <w:rPr>
          <w:rFonts w:ascii="Times New Roman" w:hAnsi="Times New Roman" w:cs="Times New Roman"/>
          <w:color w:val="000000" w:themeColor="text1"/>
        </w:rPr>
        <w:t>it’s</w:t>
      </w:r>
      <w:proofErr w:type="gramEnd"/>
      <w:r w:rsidRPr="002C6969">
        <w:rPr>
          <w:rFonts w:ascii="Times New Roman" w:hAnsi="Times New Roman" w:cs="Times New Roman"/>
          <w:color w:val="000000" w:themeColor="text1"/>
        </w:rPr>
        <w:t xml:space="preserve"> treatment were asked for better clarification and evaluation of the justification of their prescriptions. The prescriptions were collected physically as well as through online platform (email, messenger, </w:t>
      </w:r>
      <w:proofErr w:type="spellStart"/>
      <w:r w:rsidRPr="002C6969">
        <w:rPr>
          <w:rFonts w:ascii="Times New Roman" w:hAnsi="Times New Roman" w:cs="Times New Roman"/>
          <w:color w:val="000000" w:themeColor="text1"/>
        </w:rPr>
        <w:t>whatsapp</w:t>
      </w:r>
      <w:proofErr w:type="spellEnd"/>
      <w:r w:rsidRPr="002C6969">
        <w:rPr>
          <w:rFonts w:ascii="Times New Roman" w:hAnsi="Times New Roman" w:cs="Times New Roman"/>
          <w:color w:val="000000" w:themeColor="text1"/>
        </w:rPr>
        <w:t xml:space="preserve">, etc.). Interview/discussion with the patients were performed face to face as well as by phone call or audio/video call using messenger, </w:t>
      </w:r>
      <w:proofErr w:type="spellStart"/>
      <w:r w:rsidRPr="002C6969">
        <w:rPr>
          <w:rFonts w:ascii="Times New Roman" w:hAnsi="Times New Roman" w:cs="Times New Roman"/>
          <w:color w:val="000000" w:themeColor="text1"/>
        </w:rPr>
        <w:t>whatsapp</w:t>
      </w:r>
      <w:proofErr w:type="spellEnd"/>
      <w:r w:rsidRPr="002C6969">
        <w:rPr>
          <w:rFonts w:ascii="Times New Roman" w:hAnsi="Times New Roman" w:cs="Times New Roman"/>
          <w:color w:val="000000" w:themeColor="text1"/>
        </w:rPr>
        <w:t xml:space="preserve">, </w:t>
      </w:r>
      <w:proofErr w:type="spellStart"/>
      <w:r w:rsidRPr="002C6969">
        <w:rPr>
          <w:rFonts w:ascii="Times New Roman" w:hAnsi="Times New Roman" w:cs="Times New Roman"/>
          <w:color w:val="000000" w:themeColor="text1"/>
        </w:rPr>
        <w:t>imo</w:t>
      </w:r>
      <w:proofErr w:type="spellEnd"/>
      <w:r w:rsidRPr="002C6969">
        <w:rPr>
          <w:rFonts w:ascii="Times New Roman" w:hAnsi="Times New Roman" w:cs="Times New Roman"/>
          <w:color w:val="000000" w:themeColor="text1"/>
        </w:rPr>
        <w:t xml:space="preserve">, </w:t>
      </w:r>
      <w:proofErr w:type="spellStart"/>
      <w:r w:rsidRPr="002C6969">
        <w:rPr>
          <w:rFonts w:ascii="Times New Roman" w:hAnsi="Times New Roman" w:cs="Times New Roman"/>
          <w:color w:val="000000" w:themeColor="text1"/>
        </w:rPr>
        <w:t>viber</w:t>
      </w:r>
      <w:proofErr w:type="spellEnd"/>
      <w:r w:rsidRPr="002C6969">
        <w:rPr>
          <w:rFonts w:ascii="Times New Roman" w:hAnsi="Times New Roman" w:cs="Times New Roman"/>
          <w:color w:val="000000" w:themeColor="text1"/>
        </w:rPr>
        <w:t xml:space="preserve"> or online zoom meeting. </w:t>
      </w:r>
    </w:p>
    <w:p w14:paraId="034BF4D2" w14:textId="77777777" w:rsidR="00B60797" w:rsidRPr="006B348E" w:rsidRDefault="00B60797" w:rsidP="00B60797">
      <w:pPr>
        <w:spacing w:after="0" w:line="240" w:lineRule="auto"/>
        <w:jc w:val="both"/>
        <w:rPr>
          <w:rFonts w:ascii="Times New Roman" w:hAnsi="Times New Roman" w:cs="Times New Roman"/>
          <w:color w:val="000000" w:themeColor="text1"/>
          <w:sz w:val="12"/>
        </w:rPr>
      </w:pPr>
    </w:p>
    <w:p w14:paraId="13FBD5B0" w14:textId="77777777" w:rsidR="00B60797" w:rsidRPr="000D2CA0" w:rsidRDefault="00B60797" w:rsidP="00B60797">
      <w:pPr>
        <w:spacing w:after="0" w:line="240" w:lineRule="auto"/>
        <w:jc w:val="both"/>
        <w:rPr>
          <w:rFonts w:ascii="Times New Roman" w:hAnsi="Times New Roman" w:cs="Times New Roman"/>
          <w:color w:val="000000" w:themeColor="text1"/>
        </w:rPr>
      </w:pPr>
      <w:r w:rsidRPr="000D2CA0">
        <w:rPr>
          <w:rFonts w:ascii="Times New Roman" w:hAnsi="Times New Roman" w:cs="Times New Roman"/>
          <w:color w:val="000000" w:themeColor="text1"/>
        </w:rPr>
        <w:t>The data were collected from prescriptions and discussion with 184 COVID-19 survivors (hospitalized</w:t>
      </w:r>
    </w:p>
    <w:p w14:paraId="3F4179A9" w14:textId="77777777" w:rsidR="00B60797" w:rsidRDefault="00B60797" w:rsidP="00B60797">
      <w:pPr>
        <w:pStyle w:val="Heading2"/>
        <w:spacing w:before="0" w:line="240" w:lineRule="auto"/>
        <w:jc w:val="both"/>
        <w:rPr>
          <w:b/>
          <w:color w:val="000000" w:themeColor="text1"/>
          <w:sz w:val="24"/>
          <w:szCs w:val="24"/>
        </w:rPr>
      </w:pPr>
      <w:r w:rsidRPr="002C6969">
        <w:rPr>
          <w:rFonts w:ascii="Times New Roman" w:hAnsi="Times New Roman" w:cs="Times New Roman"/>
          <w:color w:val="000000" w:themeColor="text1"/>
          <w:sz w:val="22"/>
          <w:szCs w:val="22"/>
        </w:rPr>
        <w:t>and non-hospitalized). The data collection period was from 10 March 2021 to 30 July 2021. The name and personal information of the patients were kept confidential and the patients were coded with patients ID starting from P-01 to P-184. Among the study subjects, 61 patients were hospitalized and received treatment in hospital, and 123 patients received COVID-19 treatments staying at home as per the prescriptions of physicians. The collected data of medicaments and other traditional practice which were advised to follow by the physicians as a part of their treatment procedure have been summarized in Table 1 and Table 2.</w:t>
      </w:r>
      <w:r w:rsidRPr="00E16A15">
        <w:rPr>
          <w:color w:val="000000" w:themeColor="text1"/>
          <w:sz w:val="24"/>
          <w:szCs w:val="24"/>
        </w:rPr>
        <w:t xml:space="preserve"> </w:t>
      </w:r>
    </w:p>
    <w:p w14:paraId="4DE52621" w14:textId="77777777" w:rsidR="00B60797" w:rsidRDefault="00B60797" w:rsidP="00B60797">
      <w:pPr>
        <w:spacing w:after="0" w:line="240" w:lineRule="auto"/>
        <w:jc w:val="both"/>
        <w:rPr>
          <w:rFonts w:ascii="Times New Roman" w:hAnsi="Times New Roman" w:cs="Times New Roman"/>
          <w:b/>
          <w:bCs/>
        </w:rPr>
      </w:pPr>
    </w:p>
    <w:p w14:paraId="6AF4A2BE" w14:textId="77777777" w:rsidR="00B60797" w:rsidRPr="003F3852" w:rsidRDefault="00B60797" w:rsidP="00B60797">
      <w:pPr>
        <w:pStyle w:val="Heading3"/>
        <w:spacing w:before="200" w:after="200" w:line="240" w:lineRule="auto"/>
        <w:rPr>
          <w:sz w:val="32"/>
          <w:szCs w:val="32"/>
        </w:rPr>
      </w:pPr>
      <w:r>
        <w:rPr>
          <w:sz w:val="32"/>
          <w:szCs w:val="32"/>
        </w:rPr>
        <w:t>Results</w:t>
      </w:r>
    </w:p>
    <w:p w14:paraId="46143C4C" w14:textId="77777777" w:rsidR="00B60797" w:rsidRPr="002F4C9B" w:rsidRDefault="00B60797" w:rsidP="00B60797">
      <w:pPr>
        <w:pStyle w:val="Heading2"/>
        <w:keepNext w:val="0"/>
        <w:keepLines w:val="0"/>
        <w:spacing w:before="0" w:after="120" w:line="240" w:lineRule="auto"/>
        <w:jc w:val="both"/>
        <w:rPr>
          <w:rFonts w:ascii="Times New Roman" w:hAnsi="Times New Roman" w:cs="Times New Roman"/>
          <w:color w:val="000000" w:themeColor="text1"/>
          <w:sz w:val="22"/>
          <w:szCs w:val="22"/>
        </w:rPr>
      </w:pPr>
      <w:bookmarkStart w:id="0" w:name="_fjdgqn4541gh" w:colFirst="0" w:colLast="0"/>
      <w:bookmarkEnd w:id="0"/>
      <w:r w:rsidRPr="00A37901">
        <w:rPr>
          <w:rFonts w:ascii="Times New Roman" w:hAnsi="Times New Roman" w:cs="Times New Roman"/>
          <w:color w:val="000000" w:themeColor="text1"/>
          <w:sz w:val="22"/>
          <w:szCs w:val="22"/>
        </w:rPr>
        <w:t>Demographic characteristics of the patients</w:t>
      </w:r>
    </w:p>
    <w:p w14:paraId="115A1165" w14:textId="77777777" w:rsidR="00B60797" w:rsidRPr="00A37901" w:rsidRDefault="00B60797" w:rsidP="00B60797">
      <w:pPr>
        <w:pStyle w:val="Heading2"/>
        <w:keepNext w:val="0"/>
        <w:keepLines w:val="0"/>
        <w:spacing w:before="0" w:line="240" w:lineRule="auto"/>
        <w:jc w:val="both"/>
        <w:rPr>
          <w:rFonts w:ascii="Times New Roman" w:hAnsi="Times New Roman" w:cs="Times New Roman"/>
          <w:b/>
          <w:color w:val="000000" w:themeColor="text1"/>
          <w:sz w:val="22"/>
          <w:szCs w:val="22"/>
        </w:rPr>
      </w:pPr>
      <w:r w:rsidRPr="00A37901">
        <w:rPr>
          <w:rFonts w:ascii="Times New Roman" w:hAnsi="Times New Roman" w:cs="Times New Roman"/>
          <w:color w:val="000000" w:themeColor="text1"/>
          <w:sz w:val="22"/>
          <w:szCs w:val="22"/>
        </w:rPr>
        <w:t>Among total 184 patients, 61.4% was male and 38.6% female (Figure 1a). In case of 61 hospitalized patients, male patients were more (55.7%) than female ones (44.3%); and among the 123 non-hospitalized patients, male patients were 64.2% and female patients were 35.8% (Figure 1A).</w:t>
      </w:r>
      <w:r>
        <w:rPr>
          <w:rFonts w:ascii="Times New Roman" w:hAnsi="Times New Roman" w:cs="Times New Roman"/>
          <w:color w:val="000000" w:themeColor="text1"/>
          <w:sz w:val="22"/>
          <w:szCs w:val="22"/>
        </w:rPr>
        <w:t xml:space="preserve"> </w:t>
      </w:r>
      <w:r w:rsidRPr="00A37901">
        <w:rPr>
          <w:rFonts w:ascii="Times New Roman" w:hAnsi="Times New Roman" w:cs="Times New Roman"/>
          <w:color w:val="000000" w:themeColor="text1"/>
          <w:sz w:val="22"/>
          <w:szCs w:val="22"/>
        </w:rPr>
        <w:t xml:space="preserve">We have divided the patients in two groups according to age. Among 184 patients, 59.8% patient was below 40 years and 40.2% above 40 years. When we considered only hospitalized patients, 49.2% was below 40 years and 50.8% was above 40 years. For non-hospitalized patients, 65% was below 40 years and 35% was above that age. These data </w:t>
      </w:r>
      <w:proofErr w:type="gramStart"/>
      <w:r w:rsidRPr="00A37901">
        <w:rPr>
          <w:rFonts w:ascii="Times New Roman" w:hAnsi="Times New Roman" w:cs="Times New Roman"/>
          <w:color w:val="000000" w:themeColor="text1"/>
          <w:sz w:val="22"/>
          <w:szCs w:val="22"/>
        </w:rPr>
        <w:t>has</w:t>
      </w:r>
      <w:proofErr w:type="gramEnd"/>
      <w:r w:rsidRPr="00A37901">
        <w:rPr>
          <w:rFonts w:ascii="Times New Roman" w:hAnsi="Times New Roman" w:cs="Times New Roman"/>
          <w:color w:val="000000" w:themeColor="text1"/>
          <w:sz w:val="22"/>
          <w:szCs w:val="22"/>
        </w:rPr>
        <w:t xml:space="preserve"> been summarized in Figure 1B.</w:t>
      </w:r>
    </w:p>
    <w:p w14:paraId="475A04BE" w14:textId="77777777" w:rsidR="00B60797" w:rsidRPr="006B348E" w:rsidRDefault="00B60797" w:rsidP="00B60797">
      <w:pPr>
        <w:keepNext/>
        <w:keepLines/>
        <w:spacing w:after="0" w:line="240" w:lineRule="auto"/>
        <w:ind w:left="10" w:hanging="10"/>
        <w:jc w:val="both"/>
        <w:outlineLvl w:val="2"/>
        <w:rPr>
          <w:rFonts w:ascii="Times New Roman" w:hAnsi="Times New Roman" w:cs="Times New Roman"/>
          <w:sz w:val="24"/>
        </w:rPr>
      </w:pPr>
    </w:p>
    <w:p w14:paraId="6374B793" w14:textId="77777777" w:rsidR="00B60797" w:rsidRPr="006B348E" w:rsidRDefault="00B60797" w:rsidP="00B60797">
      <w:pPr>
        <w:spacing w:after="0" w:line="240" w:lineRule="auto"/>
        <w:jc w:val="both"/>
        <w:rPr>
          <w:rFonts w:ascii="Times New Roman" w:hAnsi="Times New Roman" w:cs="Times New Roman"/>
          <w:b/>
          <w:color w:val="000000" w:themeColor="text1"/>
        </w:rPr>
      </w:pPr>
      <w:r w:rsidRPr="006B348E">
        <w:rPr>
          <w:rFonts w:ascii="Times New Roman" w:hAnsi="Times New Roman" w:cs="Times New Roman"/>
          <w:b/>
          <w:color w:val="000000" w:themeColor="text1"/>
        </w:rPr>
        <w:t>Clinical management of COVID-19 patients in Bangladesh</w:t>
      </w:r>
    </w:p>
    <w:p w14:paraId="0FB37858" w14:textId="77777777" w:rsidR="00B60797" w:rsidRPr="006B348E" w:rsidRDefault="00B60797" w:rsidP="00B60797">
      <w:pPr>
        <w:spacing w:after="0" w:line="240" w:lineRule="auto"/>
        <w:jc w:val="both"/>
        <w:rPr>
          <w:rFonts w:ascii="Times New Roman" w:hAnsi="Times New Roman" w:cs="Times New Roman"/>
          <w:i/>
          <w:color w:val="000000" w:themeColor="text1"/>
          <w:sz w:val="12"/>
        </w:rPr>
      </w:pPr>
    </w:p>
    <w:p w14:paraId="731C77B2" w14:textId="77777777" w:rsidR="00B60797" w:rsidRPr="006B348E" w:rsidRDefault="00B60797" w:rsidP="00B60797">
      <w:pPr>
        <w:spacing w:after="0" w:line="240" w:lineRule="auto"/>
        <w:jc w:val="both"/>
        <w:rPr>
          <w:rFonts w:ascii="Times New Roman" w:hAnsi="Times New Roman" w:cs="Times New Roman"/>
          <w:i/>
          <w:color w:val="000000" w:themeColor="text1"/>
        </w:rPr>
      </w:pPr>
      <w:r w:rsidRPr="006B348E">
        <w:rPr>
          <w:rFonts w:ascii="Times New Roman" w:hAnsi="Times New Roman" w:cs="Times New Roman"/>
          <w:i/>
          <w:color w:val="000000" w:themeColor="text1"/>
        </w:rPr>
        <w:t>COVID-19 confirmation test</w:t>
      </w:r>
    </w:p>
    <w:p w14:paraId="2628DC8E" w14:textId="77777777" w:rsidR="00B60797" w:rsidRPr="006B348E" w:rsidRDefault="00B60797" w:rsidP="00B60797">
      <w:pPr>
        <w:spacing w:after="0" w:line="240" w:lineRule="auto"/>
        <w:jc w:val="both"/>
        <w:rPr>
          <w:rFonts w:ascii="Times New Roman" w:hAnsi="Times New Roman" w:cs="Times New Roman"/>
          <w:color w:val="000000" w:themeColor="text1"/>
        </w:rPr>
      </w:pPr>
      <w:r w:rsidRPr="006B348E">
        <w:rPr>
          <w:rFonts w:ascii="Times New Roman" w:hAnsi="Times New Roman" w:cs="Times New Roman"/>
          <w:color w:val="000000" w:themeColor="text1"/>
        </w:rPr>
        <w:t>All the patients of this study were tested positive in the confirmed COVID test by various recognized national and private organizations solely designated for tests.</w:t>
      </w:r>
    </w:p>
    <w:p w14:paraId="08A1F4DA" w14:textId="77777777" w:rsidR="00B60797" w:rsidRPr="006B348E" w:rsidRDefault="00B60797" w:rsidP="00B60797">
      <w:pPr>
        <w:spacing w:after="0" w:line="240" w:lineRule="auto"/>
        <w:jc w:val="both"/>
        <w:rPr>
          <w:rFonts w:ascii="Times New Roman" w:hAnsi="Times New Roman" w:cs="Times New Roman"/>
          <w:color w:val="000000" w:themeColor="text1"/>
          <w:sz w:val="12"/>
        </w:rPr>
      </w:pPr>
    </w:p>
    <w:p w14:paraId="483B0AB0" w14:textId="77777777" w:rsidR="00B60797" w:rsidRPr="006B348E" w:rsidRDefault="00B60797" w:rsidP="00B60797">
      <w:pPr>
        <w:spacing w:after="0" w:line="240" w:lineRule="auto"/>
        <w:jc w:val="both"/>
        <w:rPr>
          <w:rFonts w:ascii="Times New Roman" w:hAnsi="Times New Roman" w:cs="Times New Roman"/>
          <w:i/>
          <w:color w:val="000000" w:themeColor="text1"/>
        </w:rPr>
      </w:pPr>
      <w:r w:rsidRPr="006B348E">
        <w:rPr>
          <w:rFonts w:ascii="Times New Roman" w:hAnsi="Times New Roman" w:cs="Times New Roman"/>
          <w:i/>
          <w:color w:val="000000" w:themeColor="text1"/>
        </w:rPr>
        <w:t>Biochemical tests/ analysis</w:t>
      </w:r>
    </w:p>
    <w:p w14:paraId="1C15E452" w14:textId="77777777" w:rsidR="00B60797" w:rsidRPr="006B348E" w:rsidRDefault="00B60797" w:rsidP="00B60797">
      <w:pPr>
        <w:spacing w:after="0" w:line="240" w:lineRule="auto"/>
        <w:jc w:val="both"/>
        <w:rPr>
          <w:rFonts w:ascii="Times New Roman" w:hAnsi="Times New Roman" w:cs="Times New Roman"/>
          <w:color w:val="000000" w:themeColor="text1"/>
        </w:rPr>
      </w:pPr>
      <w:r w:rsidRPr="006B348E">
        <w:rPr>
          <w:rFonts w:ascii="Times New Roman" w:hAnsi="Times New Roman" w:cs="Times New Roman"/>
          <w:color w:val="000000" w:themeColor="text1"/>
        </w:rPr>
        <w:t>Several biochemical tests were suggested like CBC with ESR, serum ferritin, D-Dimer, Chest X-ray and HRCT which was acknowledged by patients while conversation and observation of treatment records.</w:t>
      </w:r>
    </w:p>
    <w:p w14:paraId="0EE4E43A" w14:textId="77777777" w:rsidR="00B60797" w:rsidRPr="006B348E" w:rsidRDefault="00B60797" w:rsidP="00B60797">
      <w:pPr>
        <w:spacing w:after="0" w:line="240" w:lineRule="auto"/>
        <w:jc w:val="both"/>
        <w:rPr>
          <w:rFonts w:ascii="Times New Roman" w:hAnsi="Times New Roman" w:cs="Times New Roman"/>
          <w:b/>
          <w:color w:val="000000" w:themeColor="text1"/>
          <w:sz w:val="12"/>
        </w:rPr>
      </w:pPr>
    </w:p>
    <w:p w14:paraId="7E142EA7" w14:textId="77777777" w:rsidR="00B60797" w:rsidRPr="006B348E" w:rsidRDefault="00B60797" w:rsidP="00B60797">
      <w:pPr>
        <w:spacing w:after="0" w:line="240" w:lineRule="auto"/>
        <w:jc w:val="both"/>
        <w:rPr>
          <w:rFonts w:ascii="Times New Roman" w:hAnsi="Times New Roman" w:cs="Times New Roman"/>
          <w:i/>
          <w:color w:val="000000" w:themeColor="text1"/>
        </w:rPr>
      </w:pPr>
      <w:r w:rsidRPr="006B348E">
        <w:rPr>
          <w:rFonts w:ascii="Times New Roman" w:hAnsi="Times New Roman" w:cs="Times New Roman"/>
          <w:i/>
          <w:color w:val="000000" w:themeColor="text1"/>
        </w:rPr>
        <w:t>Physical observation</w:t>
      </w:r>
    </w:p>
    <w:p w14:paraId="674EB59A" w14:textId="77777777" w:rsidR="00B60797" w:rsidRDefault="00B60797" w:rsidP="00B60797">
      <w:pPr>
        <w:spacing w:after="0" w:line="240" w:lineRule="auto"/>
        <w:jc w:val="both"/>
        <w:rPr>
          <w:rFonts w:ascii="Times New Roman" w:hAnsi="Times New Roman" w:cs="Times New Roman"/>
          <w:color w:val="000000" w:themeColor="text1"/>
        </w:rPr>
      </w:pPr>
      <w:r w:rsidRPr="006B348E">
        <w:rPr>
          <w:rFonts w:ascii="Times New Roman" w:hAnsi="Times New Roman" w:cs="Times New Roman"/>
          <w:color w:val="000000" w:themeColor="text1"/>
        </w:rPr>
        <w:t>COVID-19 patients’ symptoms were noted and listed (Table 3). Common symptoms include fever, headache, body ache, chest tightness, cough, sore throat breathing difficulty etc. Comorbidities for instance hypertension, diabetes, insomnia, kidney disease etc. were also identified through diagnosis.</w:t>
      </w:r>
    </w:p>
    <w:p w14:paraId="195D833B" w14:textId="77777777" w:rsidR="00B60797" w:rsidRDefault="00B60797"/>
    <w:p w14:paraId="5805FDC5" w14:textId="3D68ABC3" w:rsidR="00B60797" w:rsidRDefault="00B60797">
      <w:r w:rsidRPr="001D7D6D">
        <w:rPr>
          <w:noProof/>
          <w:color w:val="000000" w:themeColor="text1"/>
          <w:lang w:val="en-MY" w:eastAsia="en-MY"/>
        </w:rPr>
        <w:drawing>
          <wp:anchor distT="0" distB="0" distL="114300" distR="114300" simplePos="0" relativeHeight="251659264" behindDoc="1" locked="0" layoutInCell="1" allowOverlap="1" wp14:anchorId="73922157" wp14:editId="48160E13">
            <wp:simplePos x="0" y="0"/>
            <wp:positionH relativeFrom="column">
              <wp:posOffset>0</wp:posOffset>
            </wp:positionH>
            <wp:positionV relativeFrom="paragraph">
              <wp:posOffset>-635</wp:posOffset>
            </wp:positionV>
            <wp:extent cx="6781800" cy="4481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0" cy="448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5A858" w14:textId="77777777" w:rsidR="00B60797" w:rsidRDefault="00B60797"/>
    <w:p w14:paraId="165900A8" w14:textId="77777777" w:rsidR="00B60797" w:rsidRDefault="00B60797"/>
    <w:p w14:paraId="5AC10D57" w14:textId="77777777" w:rsidR="00B60797" w:rsidRDefault="00B60797"/>
    <w:p w14:paraId="4AE15F5B" w14:textId="77777777" w:rsidR="00B60797" w:rsidRDefault="00B60797"/>
    <w:p w14:paraId="7DC360DA" w14:textId="1126D854" w:rsidR="00B60797" w:rsidRDefault="00B60797"/>
    <w:p w14:paraId="1A45D7CC" w14:textId="6531A090" w:rsidR="00B60797" w:rsidRDefault="00B60797"/>
    <w:p w14:paraId="3BE9B171" w14:textId="0F4922EE" w:rsidR="00B60797" w:rsidRDefault="00B60797"/>
    <w:p w14:paraId="03CDC700" w14:textId="085809DE" w:rsidR="00B60797" w:rsidRDefault="00B60797"/>
    <w:p w14:paraId="347F4C56" w14:textId="12A04C0C" w:rsidR="00B60797" w:rsidRDefault="00B60797"/>
    <w:p w14:paraId="2A9222CE" w14:textId="434E0663" w:rsidR="00B60797" w:rsidRDefault="00B60797"/>
    <w:p w14:paraId="0689FD93" w14:textId="77777777" w:rsidR="00B60797" w:rsidRPr="00C31202" w:rsidRDefault="00B60797" w:rsidP="00B60797">
      <w:pPr>
        <w:spacing w:after="0" w:line="240" w:lineRule="auto"/>
        <w:jc w:val="both"/>
        <w:rPr>
          <w:rFonts w:ascii="Times New Roman" w:hAnsi="Times New Roman" w:cs="Times New Roman"/>
          <w:i/>
          <w:color w:val="000000" w:themeColor="text1"/>
        </w:rPr>
      </w:pPr>
      <w:r w:rsidRPr="00C31202">
        <w:rPr>
          <w:rFonts w:ascii="Times New Roman" w:hAnsi="Times New Roman" w:cs="Times New Roman"/>
          <w:i/>
          <w:color w:val="000000" w:themeColor="text1"/>
        </w:rPr>
        <w:t>Oxygen saturation</w:t>
      </w:r>
    </w:p>
    <w:p w14:paraId="76D1B0D6" w14:textId="77777777" w:rsidR="00B60797" w:rsidRPr="00C31202" w:rsidRDefault="00B60797" w:rsidP="00B60797">
      <w:pPr>
        <w:spacing w:after="0" w:line="240" w:lineRule="auto"/>
        <w:jc w:val="both"/>
        <w:rPr>
          <w:rFonts w:ascii="Times New Roman" w:hAnsi="Times New Roman" w:cs="Times New Roman"/>
          <w:color w:val="000000" w:themeColor="text1"/>
        </w:rPr>
      </w:pPr>
      <w:r w:rsidRPr="00C31202">
        <w:rPr>
          <w:rFonts w:ascii="Times New Roman" w:hAnsi="Times New Roman" w:cs="Times New Roman"/>
          <w:color w:val="000000" w:themeColor="text1"/>
        </w:rPr>
        <w:t>Typical problem arisen from COVID pneumonia was hypoxia which means low oxygen saturation level in blood. It was one of the major complications of COVID-19 that the oxygen saturation drops all of a sudden in COVID patients. So, every patient was suggested to monitor his/her oxygen saturation level on a regular basis regardless of staying at home or hospital.</w:t>
      </w:r>
    </w:p>
    <w:p w14:paraId="657A0A09" w14:textId="77777777" w:rsidR="00B60797" w:rsidRPr="00C31202" w:rsidRDefault="00B60797" w:rsidP="00B60797">
      <w:pPr>
        <w:spacing w:after="0" w:line="240" w:lineRule="auto"/>
        <w:jc w:val="both"/>
        <w:rPr>
          <w:rFonts w:ascii="Times New Roman" w:hAnsi="Times New Roman" w:cs="Times New Roman"/>
          <w:b/>
          <w:color w:val="000000" w:themeColor="text1"/>
          <w:sz w:val="12"/>
        </w:rPr>
      </w:pPr>
    </w:p>
    <w:p w14:paraId="15DFE4B2" w14:textId="77777777" w:rsidR="00B60797" w:rsidRPr="00C31202" w:rsidRDefault="00B60797" w:rsidP="00B60797">
      <w:pPr>
        <w:spacing w:after="0" w:line="240" w:lineRule="auto"/>
        <w:jc w:val="both"/>
        <w:rPr>
          <w:rFonts w:ascii="Times New Roman" w:hAnsi="Times New Roman" w:cs="Times New Roman"/>
          <w:i/>
          <w:color w:val="000000" w:themeColor="text1"/>
        </w:rPr>
      </w:pPr>
      <w:r w:rsidRPr="00C31202">
        <w:rPr>
          <w:rFonts w:ascii="Times New Roman" w:hAnsi="Times New Roman" w:cs="Times New Roman"/>
          <w:i/>
          <w:color w:val="000000" w:themeColor="text1"/>
        </w:rPr>
        <w:t>Ventilation</w:t>
      </w:r>
    </w:p>
    <w:p w14:paraId="495549F2" w14:textId="77777777" w:rsidR="00B60797" w:rsidRPr="00C31202" w:rsidRDefault="00B60797" w:rsidP="00B60797">
      <w:pPr>
        <w:spacing w:after="0" w:line="240" w:lineRule="auto"/>
        <w:jc w:val="both"/>
        <w:rPr>
          <w:rFonts w:ascii="Times New Roman" w:hAnsi="Times New Roman" w:cs="Times New Roman"/>
          <w:color w:val="000000" w:themeColor="text1"/>
        </w:rPr>
      </w:pPr>
      <w:r w:rsidRPr="00C31202">
        <w:rPr>
          <w:rFonts w:ascii="Times New Roman" w:hAnsi="Times New Roman" w:cs="Times New Roman"/>
          <w:color w:val="000000" w:themeColor="text1"/>
        </w:rPr>
        <w:t>Severe patients were transferred to ICU and under ventilation. Those who were unable to breathe were under artificial methods to assist breathing (ventilator).</w:t>
      </w:r>
    </w:p>
    <w:p w14:paraId="6802951D" w14:textId="77777777" w:rsidR="00B60797" w:rsidRPr="00C31202" w:rsidRDefault="00B60797" w:rsidP="00B60797">
      <w:pPr>
        <w:spacing w:after="0" w:line="240" w:lineRule="auto"/>
        <w:jc w:val="both"/>
        <w:rPr>
          <w:rFonts w:ascii="Times New Roman" w:hAnsi="Times New Roman" w:cs="Times New Roman"/>
          <w:b/>
          <w:color w:val="000000" w:themeColor="text1"/>
          <w:sz w:val="12"/>
        </w:rPr>
      </w:pPr>
    </w:p>
    <w:p w14:paraId="461F6F53" w14:textId="77777777" w:rsidR="00B60797" w:rsidRPr="00C31202" w:rsidRDefault="00B60797" w:rsidP="00B60797">
      <w:pPr>
        <w:spacing w:after="0" w:line="240" w:lineRule="auto"/>
        <w:jc w:val="both"/>
        <w:rPr>
          <w:rFonts w:ascii="Times New Roman" w:hAnsi="Times New Roman" w:cs="Times New Roman"/>
          <w:i/>
          <w:color w:val="000000" w:themeColor="text1"/>
        </w:rPr>
      </w:pPr>
      <w:r w:rsidRPr="00C31202">
        <w:rPr>
          <w:rFonts w:ascii="Times New Roman" w:hAnsi="Times New Roman" w:cs="Times New Roman"/>
          <w:i/>
          <w:color w:val="000000" w:themeColor="text1"/>
        </w:rPr>
        <w:t xml:space="preserve">Treatment </w:t>
      </w:r>
    </w:p>
    <w:p w14:paraId="3EFE8B4F" w14:textId="77777777" w:rsidR="00B60797" w:rsidRPr="00C31202" w:rsidRDefault="00B60797" w:rsidP="00B60797">
      <w:pPr>
        <w:spacing w:after="0" w:line="240" w:lineRule="auto"/>
        <w:jc w:val="both"/>
        <w:rPr>
          <w:rFonts w:ascii="Times New Roman" w:hAnsi="Times New Roman" w:cs="Times New Roman"/>
          <w:color w:val="000000" w:themeColor="text1"/>
        </w:rPr>
      </w:pPr>
      <w:r w:rsidRPr="00C31202">
        <w:rPr>
          <w:rFonts w:ascii="Times New Roman" w:hAnsi="Times New Roman" w:cs="Times New Roman"/>
          <w:color w:val="000000" w:themeColor="text1"/>
        </w:rPr>
        <w:t>Various drugs were prescribed both for symptomatic and prophylactic treatment to the patients according to their age, symptoms and stage of infection.</w:t>
      </w:r>
    </w:p>
    <w:p w14:paraId="46332C77" w14:textId="77777777" w:rsidR="00B60797" w:rsidRPr="00C31202" w:rsidRDefault="00B60797" w:rsidP="00B60797">
      <w:pPr>
        <w:spacing w:after="0" w:line="240" w:lineRule="auto"/>
        <w:jc w:val="both"/>
        <w:rPr>
          <w:rFonts w:ascii="Times New Roman" w:hAnsi="Times New Roman" w:cs="Times New Roman"/>
          <w:b/>
          <w:color w:val="000000" w:themeColor="text1"/>
          <w:sz w:val="12"/>
        </w:rPr>
      </w:pPr>
    </w:p>
    <w:p w14:paraId="343DB81C" w14:textId="77777777" w:rsidR="00B60797" w:rsidRPr="00C31202" w:rsidRDefault="00B60797" w:rsidP="00B60797">
      <w:pPr>
        <w:spacing w:after="0" w:line="240" w:lineRule="auto"/>
        <w:jc w:val="both"/>
        <w:rPr>
          <w:rFonts w:ascii="Times New Roman" w:hAnsi="Times New Roman" w:cs="Times New Roman"/>
          <w:i/>
          <w:color w:val="000000" w:themeColor="text1"/>
        </w:rPr>
      </w:pPr>
      <w:r w:rsidRPr="00C31202">
        <w:rPr>
          <w:rFonts w:ascii="Times New Roman" w:hAnsi="Times New Roman" w:cs="Times New Roman"/>
          <w:i/>
          <w:color w:val="000000" w:themeColor="text1"/>
        </w:rPr>
        <w:t>Treatment procedure of COVID-19 patients in Bangladesh</w:t>
      </w:r>
    </w:p>
    <w:p w14:paraId="3ECCCCB5" w14:textId="77777777" w:rsidR="00B60797" w:rsidRPr="00C31202" w:rsidRDefault="00B60797" w:rsidP="00B60797">
      <w:pPr>
        <w:spacing w:after="0" w:line="240" w:lineRule="auto"/>
        <w:jc w:val="both"/>
        <w:rPr>
          <w:rFonts w:ascii="Times New Roman" w:hAnsi="Times New Roman" w:cs="Times New Roman"/>
          <w:color w:val="000000" w:themeColor="text1"/>
        </w:rPr>
      </w:pPr>
      <w:r w:rsidRPr="00C31202">
        <w:rPr>
          <w:rFonts w:ascii="Times New Roman" w:hAnsi="Times New Roman" w:cs="Times New Roman"/>
          <w:color w:val="000000" w:themeColor="text1"/>
        </w:rPr>
        <w:t xml:space="preserve">Moving forward towards the treatment procedure, several classes of drugs were found including antiviral, antibiotic, antipyretic, antitussive, corticosteroid, </w:t>
      </w:r>
      <w:proofErr w:type="spellStart"/>
      <w:r w:rsidRPr="00C31202">
        <w:rPr>
          <w:rFonts w:ascii="Times New Roman" w:hAnsi="Times New Roman" w:cs="Times New Roman"/>
          <w:color w:val="000000" w:themeColor="text1"/>
        </w:rPr>
        <w:t>mucolytes</w:t>
      </w:r>
      <w:proofErr w:type="spellEnd"/>
      <w:r w:rsidRPr="00C31202">
        <w:rPr>
          <w:rFonts w:ascii="Times New Roman" w:hAnsi="Times New Roman" w:cs="Times New Roman"/>
          <w:color w:val="000000" w:themeColor="text1"/>
        </w:rPr>
        <w:t xml:space="preserve">, anxiolytic, anticoagulant, antihistamine, vitamin and mineral supplements, and bronchodilators. Occasionally monoclonal antibody, antidiabetic, antihypertensive, antiprotozoal and cholesterol-lowering agents were also prescribed summarized in Table 1. </w:t>
      </w:r>
    </w:p>
    <w:p w14:paraId="51D620FB" w14:textId="77777777" w:rsidR="00B60797" w:rsidRPr="00CE43B5" w:rsidRDefault="00B60797" w:rsidP="00B60797">
      <w:pPr>
        <w:spacing w:after="0" w:line="240" w:lineRule="auto"/>
        <w:jc w:val="both"/>
        <w:rPr>
          <w:rFonts w:ascii="Times New Roman" w:hAnsi="Times New Roman" w:cs="Times New Roman"/>
          <w:color w:val="000000" w:themeColor="text1"/>
          <w:sz w:val="20"/>
        </w:rPr>
      </w:pPr>
    </w:p>
    <w:p w14:paraId="1EBC263C" w14:textId="77777777" w:rsidR="00B60797" w:rsidRPr="00C31202" w:rsidRDefault="00B60797" w:rsidP="00B60797">
      <w:pPr>
        <w:spacing w:after="0" w:line="240" w:lineRule="auto"/>
        <w:jc w:val="both"/>
        <w:rPr>
          <w:rFonts w:ascii="Times New Roman" w:hAnsi="Times New Roman" w:cs="Times New Roman"/>
          <w:b/>
          <w:color w:val="000000" w:themeColor="text1"/>
        </w:rPr>
      </w:pPr>
      <w:r w:rsidRPr="00C31202">
        <w:rPr>
          <w:rFonts w:ascii="Times New Roman" w:hAnsi="Times New Roman" w:cs="Times New Roman"/>
          <w:b/>
          <w:color w:val="000000" w:themeColor="text1"/>
        </w:rPr>
        <w:t>Categories of drugs used for the treatment of COVID-19 patients</w:t>
      </w:r>
    </w:p>
    <w:p w14:paraId="33139899" w14:textId="77777777" w:rsidR="00B60797" w:rsidRPr="00C31202" w:rsidRDefault="00B60797" w:rsidP="00B60797">
      <w:pPr>
        <w:spacing w:before="120" w:after="0" w:line="240" w:lineRule="auto"/>
        <w:jc w:val="both"/>
        <w:rPr>
          <w:rFonts w:ascii="Times New Roman" w:hAnsi="Times New Roman" w:cs="Times New Roman"/>
          <w:i/>
          <w:color w:val="000000" w:themeColor="text1"/>
        </w:rPr>
      </w:pPr>
      <w:r w:rsidRPr="00C31202">
        <w:rPr>
          <w:rFonts w:ascii="Times New Roman" w:hAnsi="Times New Roman" w:cs="Times New Roman"/>
          <w:i/>
          <w:color w:val="000000" w:themeColor="text1"/>
        </w:rPr>
        <w:t>Repurposing of antiviral drugs</w:t>
      </w:r>
    </w:p>
    <w:p w14:paraId="11D20664" w14:textId="77777777" w:rsidR="00B60797" w:rsidRPr="00C31202" w:rsidRDefault="00B60797" w:rsidP="00B60797">
      <w:pPr>
        <w:spacing w:after="0" w:line="240" w:lineRule="auto"/>
        <w:jc w:val="both"/>
        <w:rPr>
          <w:rFonts w:ascii="Times New Roman" w:hAnsi="Times New Roman" w:cs="Times New Roman"/>
          <w:color w:val="000000" w:themeColor="text1"/>
        </w:rPr>
      </w:pPr>
      <w:r w:rsidRPr="00C31202">
        <w:rPr>
          <w:rFonts w:ascii="Times New Roman" w:hAnsi="Times New Roman" w:cs="Times New Roman"/>
          <w:color w:val="000000" w:themeColor="text1"/>
        </w:rPr>
        <w:t xml:space="preserve">Among the antiviral drugs, Ivermectin, </w:t>
      </w:r>
      <w:proofErr w:type="spellStart"/>
      <w:r w:rsidRPr="00C31202">
        <w:rPr>
          <w:rFonts w:ascii="Times New Roman" w:hAnsi="Times New Roman" w:cs="Times New Roman"/>
          <w:color w:val="000000" w:themeColor="text1"/>
        </w:rPr>
        <w:t>Remdisivir</w:t>
      </w:r>
      <w:proofErr w:type="spellEnd"/>
      <w:r w:rsidRPr="00C31202">
        <w:rPr>
          <w:rFonts w:ascii="Times New Roman" w:hAnsi="Times New Roman" w:cs="Times New Roman"/>
          <w:color w:val="000000" w:themeColor="text1"/>
        </w:rPr>
        <w:t xml:space="preserve"> and Favipiravir were used. The topmost and only antiviral drug prescribed in non-hospitalized patients was Ivermectin having a frequency of 56 prescriptions out of 122 (46%) (Fig. 2A). In the case of hospitalized patients, Ivermectin and </w:t>
      </w:r>
      <w:proofErr w:type="spellStart"/>
      <w:r w:rsidRPr="00C31202">
        <w:rPr>
          <w:rFonts w:ascii="Times New Roman" w:hAnsi="Times New Roman" w:cs="Times New Roman"/>
          <w:color w:val="000000" w:themeColor="text1"/>
        </w:rPr>
        <w:t>Remdisivir</w:t>
      </w:r>
      <w:proofErr w:type="spellEnd"/>
      <w:r w:rsidRPr="00C31202">
        <w:rPr>
          <w:rFonts w:ascii="Times New Roman" w:hAnsi="Times New Roman" w:cs="Times New Roman"/>
          <w:color w:val="000000" w:themeColor="text1"/>
        </w:rPr>
        <w:t xml:space="preserve"> were in 17 and 25 prescriptions respectively (28% and 41% respectively) whereas Favipiravir use was very low consuming 1 prescription (2%) (Fig. 2B).</w:t>
      </w:r>
    </w:p>
    <w:p w14:paraId="414BF7E1" w14:textId="77777777" w:rsidR="00B60797" w:rsidRPr="00C31202" w:rsidRDefault="00B60797" w:rsidP="00B60797">
      <w:pPr>
        <w:spacing w:after="0" w:line="240" w:lineRule="auto"/>
        <w:jc w:val="both"/>
        <w:rPr>
          <w:rFonts w:ascii="Times New Roman" w:hAnsi="Times New Roman" w:cs="Times New Roman"/>
          <w:color w:val="000000" w:themeColor="text1"/>
          <w:sz w:val="12"/>
        </w:rPr>
      </w:pPr>
    </w:p>
    <w:p w14:paraId="1A714C81" w14:textId="77777777" w:rsidR="00B60797" w:rsidRPr="00C31202" w:rsidRDefault="00B60797" w:rsidP="00B60797">
      <w:pPr>
        <w:spacing w:after="0" w:line="240" w:lineRule="auto"/>
        <w:jc w:val="both"/>
        <w:rPr>
          <w:rFonts w:ascii="Times New Roman" w:hAnsi="Times New Roman" w:cs="Times New Roman"/>
          <w:i/>
          <w:color w:val="000000" w:themeColor="text1"/>
        </w:rPr>
      </w:pPr>
      <w:r w:rsidRPr="00C31202">
        <w:rPr>
          <w:rFonts w:ascii="Times New Roman" w:hAnsi="Times New Roman" w:cs="Times New Roman"/>
          <w:i/>
          <w:color w:val="000000" w:themeColor="text1"/>
        </w:rPr>
        <w:t>R</w:t>
      </w:r>
      <w:r>
        <w:rPr>
          <w:rFonts w:ascii="Times New Roman" w:hAnsi="Times New Roman" w:cs="Times New Roman"/>
          <w:i/>
          <w:color w:val="000000" w:themeColor="text1"/>
        </w:rPr>
        <w:t>epurposing of antibiotics</w:t>
      </w:r>
    </w:p>
    <w:p w14:paraId="08FE5FBB" w14:textId="5678872F" w:rsidR="00B60797" w:rsidRDefault="00B60797" w:rsidP="00B60797">
      <w:pPr>
        <w:rPr>
          <w:rFonts w:ascii="Times New Roman" w:hAnsi="Times New Roman" w:cs="Times New Roman"/>
          <w:color w:val="000000" w:themeColor="text1"/>
        </w:rPr>
      </w:pPr>
      <w:r w:rsidRPr="00C31202">
        <w:rPr>
          <w:rFonts w:ascii="Times New Roman" w:hAnsi="Times New Roman" w:cs="Times New Roman"/>
          <w:color w:val="000000" w:themeColor="text1"/>
        </w:rPr>
        <w:t>During COVID pandemic, the mostly commonly used antibiotics were Azithromycin (class: Macrolide), Doxycycline (class: tetracycline), Amoxicillin and Clavulanic acid combination (class: Penicillin), Cefuroxime, Cefixime (class: cephalosporin), Moxifloxacin, Gemifloxacin and Levofloxacin (Fluoroquinolone) and Meropenem (class: carbapenem). Considering the use of antibiotics, Azithromycin was prevalent (28%, 17 prescriptions), followed by Penicillin and Fluoroquinolone (23%, 14 prescriptions), Meropenem (16%, 10 prescriptions), Doxycycline (11%, 7 prescriptions) and Cephalosporin (7%, 4 prescriptions) - all for hospitalized patients (Fig. 2B). For non-hospitalized ones, Azithromycin was mostly prescribed covering 46 prescriptions (37%), while Fluoroquinolone, Doxycycline, Cephalosporin and Penicillin were in 5, 38, 8 and 2 prescriptions respectively (4%, 28%, 7% and 2% respectively) (Fig. 2A).</w:t>
      </w:r>
    </w:p>
    <w:p w14:paraId="68E70A49" w14:textId="02828829" w:rsidR="00B60797" w:rsidRDefault="00B60797" w:rsidP="00B60797">
      <w:pPr>
        <w:rPr>
          <w:rFonts w:ascii="Times New Roman" w:hAnsi="Times New Roman" w:cs="Times New Roman"/>
          <w:color w:val="000000" w:themeColor="text1"/>
        </w:rPr>
      </w:pPr>
    </w:p>
    <w:p w14:paraId="4EFF2D87" w14:textId="77777777" w:rsidR="00B60797" w:rsidRPr="0021240E" w:rsidRDefault="00B60797" w:rsidP="00B60797">
      <w:pPr>
        <w:jc w:val="center"/>
        <w:rPr>
          <w:rFonts w:ascii="Times New Roman" w:hAnsi="Times New Roman" w:cs="Times New Roman"/>
          <w:b/>
          <w:sz w:val="24"/>
          <w:szCs w:val="24"/>
        </w:rPr>
      </w:pPr>
      <w:r w:rsidRPr="0021240E">
        <w:rPr>
          <w:rFonts w:ascii="Times New Roman" w:hAnsi="Times New Roman" w:cs="Times New Roman"/>
          <w:b/>
          <w:sz w:val="24"/>
          <w:szCs w:val="24"/>
        </w:rPr>
        <w:t>Table 1:</w:t>
      </w:r>
      <w:r w:rsidRPr="0021240E">
        <w:rPr>
          <w:rFonts w:ascii="Times New Roman" w:hAnsi="Times New Roman" w:cs="Times New Roman"/>
          <w:sz w:val="24"/>
          <w:szCs w:val="24"/>
        </w:rPr>
        <w:t xml:space="preserve"> </w:t>
      </w:r>
      <w:r w:rsidRPr="0021240E">
        <w:rPr>
          <w:rFonts w:ascii="Times New Roman" w:hAnsi="Times New Roman" w:cs="Times New Roman"/>
          <w:b/>
          <w:sz w:val="24"/>
          <w:szCs w:val="24"/>
        </w:rPr>
        <w:t>Medicaments followed by non-hospitalized patients diagnosed with COVID-19 at Dhaka city in Bangladesh</w:t>
      </w:r>
    </w:p>
    <w:tbl>
      <w:tblPr>
        <w:tblStyle w:val="PlainTable21"/>
        <w:tblpPr w:leftFromText="180" w:rightFromText="180" w:vertAnchor="text" w:horzAnchor="margin" w:tblpXSpec="center" w:tblpY="108"/>
        <w:tblW w:w="9039" w:type="dxa"/>
        <w:tblBorders>
          <w:left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2"/>
        <w:gridCol w:w="285"/>
        <w:gridCol w:w="1983"/>
        <w:gridCol w:w="2018"/>
        <w:gridCol w:w="1951"/>
      </w:tblGrid>
      <w:tr w:rsidR="00B60797" w:rsidRPr="00D62F77" w14:paraId="309E1E6F" w14:textId="77777777" w:rsidTr="00504DB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70" w:type="dxa"/>
            <w:gridSpan w:val="3"/>
            <w:tcBorders>
              <w:bottom w:val="none" w:sz="0" w:space="0" w:color="auto"/>
            </w:tcBorders>
            <w:noWrap/>
            <w:hideMark/>
          </w:tcPr>
          <w:p w14:paraId="2E827EAB"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Name of Drug Classes</w:t>
            </w:r>
          </w:p>
        </w:tc>
        <w:tc>
          <w:tcPr>
            <w:tcW w:w="2018" w:type="dxa"/>
            <w:tcBorders>
              <w:bottom w:val="none" w:sz="0" w:space="0" w:color="auto"/>
            </w:tcBorders>
            <w:hideMark/>
          </w:tcPr>
          <w:p w14:paraId="5F422BCE" w14:textId="77777777" w:rsidR="00B60797" w:rsidRPr="00D62F77" w:rsidRDefault="00B60797" w:rsidP="00504D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No. of Prescriptions</w:t>
            </w:r>
          </w:p>
        </w:tc>
        <w:tc>
          <w:tcPr>
            <w:tcW w:w="1951" w:type="dxa"/>
            <w:tcBorders>
              <w:bottom w:val="none" w:sz="0" w:space="0" w:color="auto"/>
            </w:tcBorders>
            <w:noWrap/>
            <w:hideMark/>
          </w:tcPr>
          <w:p w14:paraId="089754D5" w14:textId="77777777" w:rsidR="00B60797" w:rsidRPr="00D62F77" w:rsidRDefault="00B60797" w:rsidP="00504DB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Percentage (%)</w:t>
            </w:r>
          </w:p>
        </w:tc>
      </w:tr>
      <w:tr w:rsidR="00B60797" w:rsidRPr="00D62F77" w14:paraId="1DA3A246"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none" w:sz="0" w:space="0" w:color="auto"/>
              <w:bottom w:val="none" w:sz="0" w:space="0" w:color="auto"/>
            </w:tcBorders>
            <w:noWrap/>
            <w:hideMark/>
          </w:tcPr>
          <w:p w14:paraId="3D0264DC"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Antiviral</w:t>
            </w:r>
          </w:p>
        </w:tc>
        <w:tc>
          <w:tcPr>
            <w:tcW w:w="2268" w:type="dxa"/>
            <w:gridSpan w:val="2"/>
            <w:tcBorders>
              <w:top w:val="none" w:sz="0" w:space="0" w:color="auto"/>
              <w:bottom w:val="none" w:sz="0" w:space="0" w:color="auto"/>
            </w:tcBorders>
            <w:noWrap/>
            <w:hideMark/>
          </w:tcPr>
          <w:p w14:paraId="1FE43247"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Ivermectin</w:t>
            </w:r>
          </w:p>
        </w:tc>
        <w:tc>
          <w:tcPr>
            <w:tcW w:w="2018" w:type="dxa"/>
            <w:tcBorders>
              <w:top w:val="none" w:sz="0" w:space="0" w:color="auto"/>
              <w:bottom w:val="none" w:sz="0" w:space="0" w:color="auto"/>
            </w:tcBorders>
            <w:noWrap/>
            <w:hideMark/>
          </w:tcPr>
          <w:p w14:paraId="106985EB"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56</w:t>
            </w:r>
          </w:p>
        </w:tc>
        <w:tc>
          <w:tcPr>
            <w:tcW w:w="1951" w:type="dxa"/>
            <w:tcBorders>
              <w:top w:val="none" w:sz="0" w:space="0" w:color="auto"/>
              <w:bottom w:val="none" w:sz="0" w:space="0" w:color="auto"/>
            </w:tcBorders>
            <w:noWrap/>
            <w:hideMark/>
          </w:tcPr>
          <w:p w14:paraId="3B433DB8"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46</w:t>
            </w:r>
          </w:p>
        </w:tc>
      </w:tr>
      <w:tr w:rsidR="00B60797" w:rsidRPr="00D62F77" w14:paraId="1EC7F460"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vMerge/>
            <w:hideMark/>
          </w:tcPr>
          <w:p w14:paraId="29951685" w14:textId="77777777" w:rsidR="00B60797" w:rsidRPr="00D62F77" w:rsidRDefault="00B60797" w:rsidP="00504DB8">
            <w:pPr>
              <w:rPr>
                <w:rFonts w:ascii="Times New Roman" w:hAnsi="Times New Roman"/>
                <w:color w:val="000000"/>
              </w:rPr>
            </w:pPr>
          </w:p>
        </w:tc>
        <w:tc>
          <w:tcPr>
            <w:tcW w:w="2268" w:type="dxa"/>
            <w:gridSpan w:val="2"/>
            <w:noWrap/>
            <w:hideMark/>
          </w:tcPr>
          <w:p w14:paraId="578DC3E8"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Favipiravir</w:t>
            </w:r>
          </w:p>
        </w:tc>
        <w:tc>
          <w:tcPr>
            <w:tcW w:w="2018" w:type="dxa"/>
            <w:noWrap/>
            <w:hideMark/>
          </w:tcPr>
          <w:p w14:paraId="74A18214"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6</w:t>
            </w:r>
          </w:p>
        </w:tc>
        <w:tc>
          <w:tcPr>
            <w:tcW w:w="1951" w:type="dxa"/>
            <w:noWrap/>
            <w:hideMark/>
          </w:tcPr>
          <w:p w14:paraId="7308418F"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5</w:t>
            </w:r>
          </w:p>
        </w:tc>
      </w:tr>
      <w:tr w:rsidR="00B60797" w:rsidRPr="00D62F77" w14:paraId="02D46A50"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Borders>
              <w:top w:val="none" w:sz="0" w:space="0" w:color="auto"/>
              <w:bottom w:val="none" w:sz="0" w:space="0" w:color="auto"/>
            </w:tcBorders>
            <w:noWrap/>
            <w:hideMark/>
          </w:tcPr>
          <w:p w14:paraId="77F6D03A"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Antihistamine</w:t>
            </w:r>
          </w:p>
        </w:tc>
        <w:tc>
          <w:tcPr>
            <w:tcW w:w="2018" w:type="dxa"/>
            <w:tcBorders>
              <w:top w:val="none" w:sz="0" w:space="0" w:color="auto"/>
              <w:bottom w:val="none" w:sz="0" w:space="0" w:color="auto"/>
            </w:tcBorders>
            <w:noWrap/>
            <w:hideMark/>
          </w:tcPr>
          <w:p w14:paraId="529F3A9A"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56</w:t>
            </w:r>
          </w:p>
        </w:tc>
        <w:tc>
          <w:tcPr>
            <w:tcW w:w="1951" w:type="dxa"/>
            <w:tcBorders>
              <w:top w:val="none" w:sz="0" w:space="0" w:color="auto"/>
              <w:bottom w:val="none" w:sz="0" w:space="0" w:color="auto"/>
            </w:tcBorders>
            <w:noWrap/>
            <w:hideMark/>
          </w:tcPr>
          <w:p w14:paraId="419817C3"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46</w:t>
            </w:r>
          </w:p>
        </w:tc>
      </w:tr>
      <w:tr w:rsidR="00B60797" w:rsidRPr="00D62F77" w14:paraId="1DCF7872"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5070" w:type="dxa"/>
            <w:gridSpan w:val="3"/>
            <w:noWrap/>
            <w:hideMark/>
          </w:tcPr>
          <w:p w14:paraId="29FF23B4"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Bronchodilator</w:t>
            </w:r>
          </w:p>
        </w:tc>
        <w:tc>
          <w:tcPr>
            <w:tcW w:w="2018" w:type="dxa"/>
            <w:noWrap/>
            <w:hideMark/>
          </w:tcPr>
          <w:p w14:paraId="3C09836A"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24</w:t>
            </w:r>
          </w:p>
        </w:tc>
        <w:tc>
          <w:tcPr>
            <w:tcW w:w="1951" w:type="dxa"/>
            <w:noWrap/>
            <w:hideMark/>
          </w:tcPr>
          <w:p w14:paraId="54034DE0"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20</w:t>
            </w:r>
          </w:p>
        </w:tc>
      </w:tr>
      <w:tr w:rsidR="00B60797" w:rsidRPr="00D62F77" w14:paraId="2FFA663B"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Borders>
              <w:top w:val="none" w:sz="0" w:space="0" w:color="auto"/>
              <w:bottom w:val="none" w:sz="0" w:space="0" w:color="auto"/>
            </w:tcBorders>
            <w:noWrap/>
            <w:hideMark/>
          </w:tcPr>
          <w:p w14:paraId="3B4C80BC"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Montelukast</w:t>
            </w:r>
          </w:p>
        </w:tc>
        <w:tc>
          <w:tcPr>
            <w:tcW w:w="2018" w:type="dxa"/>
            <w:tcBorders>
              <w:top w:val="none" w:sz="0" w:space="0" w:color="auto"/>
              <w:bottom w:val="none" w:sz="0" w:space="0" w:color="auto"/>
            </w:tcBorders>
            <w:noWrap/>
            <w:hideMark/>
          </w:tcPr>
          <w:p w14:paraId="00F3858A"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46</w:t>
            </w:r>
          </w:p>
        </w:tc>
        <w:tc>
          <w:tcPr>
            <w:tcW w:w="1951" w:type="dxa"/>
            <w:tcBorders>
              <w:top w:val="none" w:sz="0" w:space="0" w:color="auto"/>
              <w:bottom w:val="none" w:sz="0" w:space="0" w:color="auto"/>
            </w:tcBorders>
            <w:noWrap/>
            <w:hideMark/>
          </w:tcPr>
          <w:p w14:paraId="1956BF6D"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37</w:t>
            </w:r>
          </w:p>
        </w:tc>
      </w:tr>
      <w:tr w:rsidR="00B60797" w:rsidRPr="00D62F77" w14:paraId="1662A785"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5070" w:type="dxa"/>
            <w:gridSpan w:val="3"/>
            <w:noWrap/>
            <w:hideMark/>
          </w:tcPr>
          <w:p w14:paraId="3430BC2A"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Immunosuppressant</w:t>
            </w:r>
          </w:p>
        </w:tc>
        <w:tc>
          <w:tcPr>
            <w:tcW w:w="2018" w:type="dxa"/>
            <w:noWrap/>
            <w:hideMark/>
          </w:tcPr>
          <w:p w14:paraId="4CAF6778"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1</w:t>
            </w:r>
          </w:p>
        </w:tc>
        <w:tc>
          <w:tcPr>
            <w:tcW w:w="1951" w:type="dxa"/>
            <w:noWrap/>
            <w:hideMark/>
          </w:tcPr>
          <w:p w14:paraId="00213E60"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1</w:t>
            </w:r>
          </w:p>
        </w:tc>
      </w:tr>
      <w:tr w:rsidR="00B60797" w:rsidRPr="00D62F77" w14:paraId="30DA0CA9"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Borders>
              <w:top w:val="none" w:sz="0" w:space="0" w:color="auto"/>
              <w:bottom w:val="none" w:sz="0" w:space="0" w:color="auto"/>
            </w:tcBorders>
            <w:noWrap/>
            <w:hideMark/>
          </w:tcPr>
          <w:p w14:paraId="61C14719"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Antitussive</w:t>
            </w:r>
          </w:p>
        </w:tc>
        <w:tc>
          <w:tcPr>
            <w:tcW w:w="2018" w:type="dxa"/>
            <w:tcBorders>
              <w:top w:val="none" w:sz="0" w:space="0" w:color="auto"/>
              <w:bottom w:val="none" w:sz="0" w:space="0" w:color="auto"/>
            </w:tcBorders>
            <w:noWrap/>
            <w:hideMark/>
          </w:tcPr>
          <w:p w14:paraId="4ED1719D"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16</w:t>
            </w:r>
          </w:p>
        </w:tc>
        <w:tc>
          <w:tcPr>
            <w:tcW w:w="1951" w:type="dxa"/>
            <w:tcBorders>
              <w:top w:val="none" w:sz="0" w:space="0" w:color="auto"/>
              <w:bottom w:val="none" w:sz="0" w:space="0" w:color="auto"/>
            </w:tcBorders>
            <w:noWrap/>
            <w:hideMark/>
          </w:tcPr>
          <w:p w14:paraId="540076CA"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13</w:t>
            </w:r>
          </w:p>
        </w:tc>
      </w:tr>
      <w:tr w:rsidR="00B60797" w:rsidRPr="00D62F77" w14:paraId="1F5D07A1"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vMerge w:val="restart"/>
            <w:noWrap/>
            <w:hideMark/>
          </w:tcPr>
          <w:p w14:paraId="38246ABD" w14:textId="77777777" w:rsidR="00B60797" w:rsidRPr="00D62F77" w:rsidRDefault="00B60797" w:rsidP="00504DB8">
            <w:pPr>
              <w:jc w:val="center"/>
              <w:rPr>
                <w:rFonts w:ascii="Times New Roman" w:hAnsi="Times New Roman"/>
                <w:color w:val="000000"/>
              </w:rPr>
            </w:pPr>
          </w:p>
          <w:p w14:paraId="681FA91A" w14:textId="77777777" w:rsidR="00B60797" w:rsidRPr="00D62F77" w:rsidRDefault="00B60797" w:rsidP="00504DB8">
            <w:pPr>
              <w:jc w:val="center"/>
              <w:rPr>
                <w:rFonts w:ascii="Times New Roman" w:hAnsi="Times New Roman"/>
                <w:color w:val="000000"/>
              </w:rPr>
            </w:pPr>
          </w:p>
          <w:p w14:paraId="21A73F7C" w14:textId="77777777" w:rsidR="00B60797" w:rsidRPr="00D62F77" w:rsidRDefault="00B60797" w:rsidP="00504DB8">
            <w:pPr>
              <w:jc w:val="center"/>
              <w:rPr>
                <w:rFonts w:ascii="Times New Roman" w:hAnsi="Times New Roman"/>
                <w:color w:val="000000"/>
              </w:rPr>
            </w:pPr>
          </w:p>
          <w:p w14:paraId="283B473F" w14:textId="77777777" w:rsidR="00B60797" w:rsidRPr="00D62F77" w:rsidRDefault="00B60797" w:rsidP="00504DB8">
            <w:pPr>
              <w:jc w:val="center"/>
              <w:rPr>
                <w:rFonts w:ascii="Times New Roman" w:hAnsi="Times New Roman"/>
                <w:color w:val="000000"/>
              </w:rPr>
            </w:pPr>
            <w:r w:rsidRPr="00D62F77">
              <w:rPr>
                <w:rFonts w:ascii="Times New Roman" w:hAnsi="Times New Roman"/>
                <w:color w:val="000000"/>
              </w:rPr>
              <w:t>Antibiotics</w:t>
            </w:r>
          </w:p>
        </w:tc>
        <w:tc>
          <w:tcPr>
            <w:tcW w:w="2268" w:type="dxa"/>
            <w:gridSpan w:val="2"/>
            <w:noWrap/>
            <w:hideMark/>
          </w:tcPr>
          <w:p w14:paraId="05291581"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Penicillin</w:t>
            </w:r>
          </w:p>
        </w:tc>
        <w:tc>
          <w:tcPr>
            <w:tcW w:w="2018" w:type="dxa"/>
            <w:noWrap/>
            <w:hideMark/>
          </w:tcPr>
          <w:p w14:paraId="142AB2A2"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2</w:t>
            </w:r>
          </w:p>
        </w:tc>
        <w:tc>
          <w:tcPr>
            <w:tcW w:w="1951" w:type="dxa"/>
            <w:noWrap/>
            <w:hideMark/>
          </w:tcPr>
          <w:p w14:paraId="4513B03E"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2</w:t>
            </w:r>
          </w:p>
        </w:tc>
      </w:tr>
      <w:tr w:rsidR="00B60797" w:rsidRPr="00D62F77" w14:paraId="21CF6CC0"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vMerge/>
            <w:tcBorders>
              <w:top w:val="none" w:sz="0" w:space="0" w:color="auto"/>
              <w:bottom w:val="none" w:sz="0" w:space="0" w:color="auto"/>
            </w:tcBorders>
            <w:hideMark/>
          </w:tcPr>
          <w:p w14:paraId="4EFA5B71" w14:textId="77777777" w:rsidR="00B60797" w:rsidRPr="00D62F77" w:rsidRDefault="00B60797" w:rsidP="00504DB8">
            <w:pPr>
              <w:rPr>
                <w:rFonts w:ascii="Times New Roman" w:hAnsi="Times New Roman"/>
                <w:color w:val="000000"/>
              </w:rPr>
            </w:pPr>
          </w:p>
        </w:tc>
        <w:tc>
          <w:tcPr>
            <w:tcW w:w="2268" w:type="dxa"/>
            <w:gridSpan w:val="2"/>
            <w:tcBorders>
              <w:top w:val="none" w:sz="0" w:space="0" w:color="auto"/>
              <w:bottom w:val="none" w:sz="0" w:space="0" w:color="auto"/>
            </w:tcBorders>
            <w:noWrap/>
            <w:hideMark/>
          </w:tcPr>
          <w:p w14:paraId="7592E17A"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Fluoroquinolone</w:t>
            </w:r>
          </w:p>
        </w:tc>
        <w:tc>
          <w:tcPr>
            <w:tcW w:w="2018" w:type="dxa"/>
            <w:tcBorders>
              <w:top w:val="none" w:sz="0" w:space="0" w:color="auto"/>
              <w:bottom w:val="none" w:sz="0" w:space="0" w:color="auto"/>
            </w:tcBorders>
            <w:noWrap/>
            <w:hideMark/>
          </w:tcPr>
          <w:p w14:paraId="1EE106F3"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5</w:t>
            </w:r>
          </w:p>
        </w:tc>
        <w:tc>
          <w:tcPr>
            <w:tcW w:w="1951" w:type="dxa"/>
            <w:tcBorders>
              <w:top w:val="none" w:sz="0" w:space="0" w:color="auto"/>
              <w:bottom w:val="none" w:sz="0" w:space="0" w:color="auto"/>
            </w:tcBorders>
            <w:noWrap/>
            <w:hideMark/>
          </w:tcPr>
          <w:p w14:paraId="39D4550B"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4</w:t>
            </w:r>
          </w:p>
        </w:tc>
      </w:tr>
      <w:tr w:rsidR="00B60797" w:rsidRPr="00D62F77" w14:paraId="146D5140"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vMerge/>
            <w:hideMark/>
          </w:tcPr>
          <w:p w14:paraId="2D8BCEDA" w14:textId="77777777" w:rsidR="00B60797" w:rsidRPr="00D62F77" w:rsidRDefault="00B60797" w:rsidP="00504DB8">
            <w:pPr>
              <w:rPr>
                <w:rFonts w:ascii="Times New Roman" w:hAnsi="Times New Roman"/>
                <w:color w:val="000000"/>
              </w:rPr>
            </w:pPr>
          </w:p>
        </w:tc>
        <w:tc>
          <w:tcPr>
            <w:tcW w:w="2268" w:type="dxa"/>
            <w:gridSpan w:val="2"/>
            <w:noWrap/>
            <w:hideMark/>
          </w:tcPr>
          <w:p w14:paraId="678B5783"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Azithromycin</w:t>
            </w:r>
          </w:p>
        </w:tc>
        <w:tc>
          <w:tcPr>
            <w:tcW w:w="2018" w:type="dxa"/>
            <w:noWrap/>
            <w:hideMark/>
          </w:tcPr>
          <w:p w14:paraId="67A92005"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46</w:t>
            </w:r>
          </w:p>
        </w:tc>
        <w:tc>
          <w:tcPr>
            <w:tcW w:w="1951" w:type="dxa"/>
            <w:noWrap/>
            <w:hideMark/>
          </w:tcPr>
          <w:p w14:paraId="5E3E3B14"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37</w:t>
            </w:r>
          </w:p>
        </w:tc>
      </w:tr>
      <w:tr w:rsidR="00B60797" w:rsidRPr="00D62F77" w14:paraId="65972C53"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vMerge/>
            <w:tcBorders>
              <w:top w:val="none" w:sz="0" w:space="0" w:color="auto"/>
              <w:bottom w:val="none" w:sz="0" w:space="0" w:color="auto"/>
            </w:tcBorders>
            <w:hideMark/>
          </w:tcPr>
          <w:p w14:paraId="40D2B5B4" w14:textId="77777777" w:rsidR="00B60797" w:rsidRPr="00D62F77" w:rsidRDefault="00B60797" w:rsidP="00504DB8">
            <w:pPr>
              <w:rPr>
                <w:rFonts w:ascii="Times New Roman" w:hAnsi="Times New Roman"/>
                <w:color w:val="000000"/>
              </w:rPr>
            </w:pPr>
          </w:p>
        </w:tc>
        <w:tc>
          <w:tcPr>
            <w:tcW w:w="2268" w:type="dxa"/>
            <w:gridSpan w:val="2"/>
            <w:tcBorders>
              <w:top w:val="none" w:sz="0" w:space="0" w:color="auto"/>
              <w:bottom w:val="none" w:sz="0" w:space="0" w:color="auto"/>
            </w:tcBorders>
            <w:noWrap/>
            <w:hideMark/>
          </w:tcPr>
          <w:p w14:paraId="6E918FBB"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Tetracycline</w:t>
            </w:r>
          </w:p>
        </w:tc>
        <w:tc>
          <w:tcPr>
            <w:tcW w:w="2018" w:type="dxa"/>
            <w:tcBorders>
              <w:top w:val="none" w:sz="0" w:space="0" w:color="auto"/>
              <w:bottom w:val="none" w:sz="0" w:space="0" w:color="auto"/>
            </w:tcBorders>
            <w:noWrap/>
            <w:hideMark/>
          </w:tcPr>
          <w:p w14:paraId="6143F4DD"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35</w:t>
            </w:r>
          </w:p>
        </w:tc>
        <w:tc>
          <w:tcPr>
            <w:tcW w:w="1951" w:type="dxa"/>
            <w:tcBorders>
              <w:top w:val="none" w:sz="0" w:space="0" w:color="auto"/>
              <w:bottom w:val="none" w:sz="0" w:space="0" w:color="auto"/>
            </w:tcBorders>
            <w:noWrap/>
            <w:hideMark/>
          </w:tcPr>
          <w:p w14:paraId="0715ACE9"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28</w:t>
            </w:r>
          </w:p>
        </w:tc>
      </w:tr>
      <w:tr w:rsidR="00B60797" w:rsidRPr="00D62F77" w14:paraId="3A9449EA"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vMerge/>
            <w:hideMark/>
          </w:tcPr>
          <w:p w14:paraId="738C6981" w14:textId="77777777" w:rsidR="00B60797" w:rsidRPr="00D62F77" w:rsidRDefault="00B60797" w:rsidP="00504DB8">
            <w:pPr>
              <w:rPr>
                <w:rFonts w:ascii="Times New Roman" w:hAnsi="Times New Roman"/>
                <w:color w:val="000000"/>
              </w:rPr>
            </w:pPr>
          </w:p>
        </w:tc>
        <w:tc>
          <w:tcPr>
            <w:tcW w:w="2268" w:type="dxa"/>
            <w:gridSpan w:val="2"/>
            <w:noWrap/>
            <w:hideMark/>
          </w:tcPr>
          <w:p w14:paraId="6CB875A4"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Cephalosporin</w:t>
            </w:r>
          </w:p>
        </w:tc>
        <w:tc>
          <w:tcPr>
            <w:tcW w:w="2018" w:type="dxa"/>
            <w:noWrap/>
            <w:hideMark/>
          </w:tcPr>
          <w:p w14:paraId="7B861779"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8</w:t>
            </w:r>
          </w:p>
        </w:tc>
        <w:tc>
          <w:tcPr>
            <w:tcW w:w="1951" w:type="dxa"/>
            <w:noWrap/>
            <w:hideMark/>
          </w:tcPr>
          <w:p w14:paraId="623F89BF"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62F77">
              <w:rPr>
                <w:rFonts w:ascii="Times New Roman" w:hAnsi="Times New Roman"/>
                <w:color w:val="000000"/>
              </w:rPr>
              <w:t>7</w:t>
            </w:r>
          </w:p>
        </w:tc>
      </w:tr>
      <w:tr w:rsidR="00B60797" w:rsidRPr="00D62F77" w14:paraId="1A08EE1B"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bottom w:val="none" w:sz="0" w:space="0" w:color="auto"/>
            </w:tcBorders>
          </w:tcPr>
          <w:p w14:paraId="65E47491" w14:textId="77777777" w:rsidR="00B60797" w:rsidRPr="00D62F77" w:rsidRDefault="00B60797" w:rsidP="00504DB8">
            <w:pPr>
              <w:jc w:val="center"/>
              <w:rPr>
                <w:rFonts w:ascii="Times New Roman" w:hAnsi="Times New Roman"/>
                <w:color w:val="000000"/>
              </w:rPr>
            </w:pPr>
            <w:r w:rsidRPr="00D62F77">
              <w:rPr>
                <w:rFonts w:ascii="Times New Roman" w:hAnsi="Times New Roman"/>
              </w:rPr>
              <w:t>Nutritional supplements</w:t>
            </w:r>
          </w:p>
        </w:tc>
        <w:tc>
          <w:tcPr>
            <w:tcW w:w="2268" w:type="dxa"/>
            <w:gridSpan w:val="2"/>
            <w:tcBorders>
              <w:top w:val="none" w:sz="0" w:space="0" w:color="auto"/>
              <w:bottom w:val="none" w:sz="0" w:space="0" w:color="auto"/>
            </w:tcBorders>
            <w:noWrap/>
          </w:tcPr>
          <w:p w14:paraId="0858C15C"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rPr>
              <w:t>Vitamin C</w:t>
            </w:r>
          </w:p>
        </w:tc>
        <w:tc>
          <w:tcPr>
            <w:tcW w:w="2018" w:type="dxa"/>
            <w:tcBorders>
              <w:top w:val="none" w:sz="0" w:space="0" w:color="auto"/>
              <w:bottom w:val="none" w:sz="0" w:space="0" w:color="auto"/>
            </w:tcBorders>
            <w:noWrap/>
          </w:tcPr>
          <w:p w14:paraId="4FFEA25D"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rPr>
              <w:t>73</w:t>
            </w:r>
          </w:p>
        </w:tc>
        <w:tc>
          <w:tcPr>
            <w:tcW w:w="1951" w:type="dxa"/>
            <w:tcBorders>
              <w:top w:val="none" w:sz="0" w:space="0" w:color="auto"/>
              <w:bottom w:val="none" w:sz="0" w:space="0" w:color="auto"/>
            </w:tcBorders>
            <w:noWrap/>
          </w:tcPr>
          <w:p w14:paraId="76A7AF9C"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62F77">
              <w:rPr>
                <w:rFonts w:ascii="Times New Roman" w:hAnsi="Times New Roman"/>
              </w:rPr>
              <w:t>59</w:t>
            </w:r>
          </w:p>
        </w:tc>
      </w:tr>
      <w:tr w:rsidR="00B60797" w:rsidRPr="00D62F77" w14:paraId="737DCA52"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tcPr>
          <w:p w14:paraId="63A35427" w14:textId="77777777" w:rsidR="00B60797" w:rsidRPr="00D62F77" w:rsidRDefault="00B60797" w:rsidP="00504DB8">
            <w:pPr>
              <w:rPr>
                <w:rFonts w:ascii="Times New Roman" w:hAnsi="Times New Roman"/>
              </w:rPr>
            </w:pPr>
          </w:p>
        </w:tc>
        <w:tc>
          <w:tcPr>
            <w:tcW w:w="2268" w:type="dxa"/>
            <w:gridSpan w:val="2"/>
            <w:noWrap/>
          </w:tcPr>
          <w:p w14:paraId="0BE04DEA"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Vit D</w:t>
            </w:r>
          </w:p>
        </w:tc>
        <w:tc>
          <w:tcPr>
            <w:tcW w:w="2018" w:type="dxa"/>
            <w:noWrap/>
          </w:tcPr>
          <w:p w14:paraId="3719B325"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33</w:t>
            </w:r>
          </w:p>
        </w:tc>
        <w:tc>
          <w:tcPr>
            <w:tcW w:w="1951" w:type="dxa"/>
            <w:noWrap/>
          </w:tcPr>
          <w:p w14:paraId="6FFA6190"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27</w:t>
            </w:r>
          </w:p>
        </w:tc>
      </w:tr>
      <w:tr w:rsidR="00B60797" w:rsidRPr="00D62F77" w14:paraId="7E05AC93"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bottom w:val="none" w:sz="0" w:space="0" w:color="auto"/>
            </w:tcBorders>
          </w:tcPr>
          <w:p w14:paraId="3BC7931E" w14:textId="77777777" w:rsidR="00B60797" w:rsidRPr="00D62F77" w:rsidRDefault="00B60797" w:rsidP="00504DB8">
            <w:pPr>
              <w:rPr>
                <w:rFonts w:ascii="Times New Roman" w:hAnsi="Times New Roman"/>
              </w:rPr>
            </w:pPr>
          </w:p>
        </w:tc>
        <w:tc>
          <w:tcPr>
            <w:tcW w:w="2268" w:type="dxa"/>
            <w:gridSpan w:val="2"/>
            <w:tcBorders>
              <w:top w:val="none" w:sz="0" w:space="0" w:color="auto"/>
              <w:bottom w:val="none" w:sz="0" w:space="0" w:color="auto"/>
            </w:tcBorders>
            <w:noWrap/>
          </w:tcPr>
          <w:p w14:paraId="7263ABF4"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Zinc/Zinc + Vit B</w:t>
            </w:r>
          </w:p>
        </w:tc>
        <w:tc>
          <w:tcPr>
            <w:tcW w:w="2018" w:type="dxa"/>
            <w:tcBorders>
              <w:top w:val="none" w:sz="0" w:space="0" w:color="auto"/>
              <w:bottom w:val="none" w:sz="0" w:space="0" w:color="auto"/>
            </w:tcBorders>
            <w:noWrap/>
          </w:tcPr>
          <w:p w14:paraId="74C8A979"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57</w:t>
            </w:r>
          </w:p>
        </w:tc>
        <w:tc>
          <w:tcPr>
            <w:tcW w:w="1951" w:type="dxa"/>
            <w:tcBorders>
              <w:top w:val="none" w:sz="0" w:space="0" w:color="auto"/>
              <w:bottom w:val="none" w:sz="0" w:space="0" w:color="auto"/>
            </w:tcBorders>
            <w:noWrap/>
          </w:tcPr>
          <w:p w14:paraId="511A6E48"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46</w:t>
            </w:r>
          </w:p>
        </w:tc>
      </w:tr>
      <w:tr w:rsidR="00B60797" w:rsidRPr="00D62F77" w14:paraId="399E3B48"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tcPr>
          <w:p w14:paraId="3ABA7D3D" w14:textId="77777777" w:rsidR="00B60797" w:rsidRPr="00D62F77" w:rsidRDefault="00B60797" w:rsidP="00504DB8">
            <w:pPr>
              <w:rPr>
                <w:rFonts w:ascii="Times New Roman" w:hAnsi="Times New Roman"/>
              </w:rPr>
            </w:pPr>
          </w:p>
        </w:tc>
        <w:tc>
          <w:tcPr>
            <w:tcW w:w="2268" w:type="dxa"/>
            <w:gridSpan w:val="2"/>
            <w:noWrap/>
          </w:tcPr>
          <w:p w14:paraId="1F634E20"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Multivitamin</w:t>
            </w:r>
          </w:p>
        </w:tc>
        <w:tc>
          <w:tcPr>
            <w:tcW w:w="2018" w:type="dxa"/>
            <w:noWrap/>
          </w:tcPr>
          <w:p w14:paraId="3FB8E79C"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4</w:t>
            </w:r>
          </w:p>
        </w:tc>
        <w:tc>
          <w:tcPr>
            <w:tcW w:w="1951" w:type="dxa"/>
            <w:noWrap/>
          </w:tcPr>
          <w:p w14:paraId="339A182D"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3</w:t>
            </w:r>
          </w:p>
        </w:tc>
      </w:tr>
      <w:tr w:rsidR="00B60797" w:rsidRPr="00D62F77" w14:paraId="40FC868C"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bottom w:val="none" w:sz="0" w:space="0" w:color="auto"/>
            </w:tcBorders>
          </w:tcPr>
          <w:p w14:paraId="06551732" w14:textId="77777777" w:rsidR="00B60797" w:rsidRPr="00D62F77" w:rsidRDefault="00B60797" w:rsidP="00504DB8">
            <w:pPr>
              <w:rPr>
                <w:rFonts w:ascii="Times New Roman" w:hAnsi="Times New Roman"/>
              </w:rPr>
            </w:pPr>
          </w:p>
        </w:tc>
        <w:tc>
          <w:tcPr>
            <w:tcW w:w="2268" w:type="dxa"/>
            <w:gridSpan w:val="2"/>
            <w:tcBorders>
              <w:top w:val="none" w:sz="0" w:space="0" w:color="auto"/>
              <w:bottom w:val="none" w:sz="0" w:space="0" w:color="auto"/>
            </w:tcBorders>
            <w:noWrap/>
          </w:tcPr>
          <w:p w14:paraId="09678B12"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Amino acid-Calcium/Calcium</w:t>
            </w:r>
          </w:p>
        </w:tc>
        <w:tc>
          <w:tcPr>
            <w:tcW w:w="2018" w:type="dxa"/>
            <w:tcBorders>
              <w:top w:val="none" w:sz="0" w:space="0" w:color="auto"/>
              <w:bottom w:val="none" w:sz="0" w:space="0" w:color="auto"/>
            </w:tcBorders>
            <w:noWrap/>
          </w:tcPr>
          <w:p w14:paraId="644EE3F7"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2</w:t>
            </w:r>
          </w:p>
        </w:tc>
        <w:tc>
          <w:tcPr>
            <w:tcW w:w="1951" w:type="dxa"/>
            <w:tcBorders>
              <w:top w:val="none" w:sz="0" w:space="0" w:color="auto"/>
              <w:bottom w:val="none" w:sz="0" w:space="0" w:color="auto"/>
            </w:tcBorders>
            <w:noWrap/>
          </w:tcPr>
          <w:p w14:paraId="418C5DF0"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2</w:t>
            </w:r>
          </w:p>
        </w:tc>
      </w:tr>
      <w:tr w:rsidR="00B60797" w:rsidRPr="00D62F77" w14:paraId="7839BDCF"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2802" w:type="dxa"/>
          </w:tcPr>
          <w:p w14:paraId="32C271D7" w14:textId="77777777" w:rsidR="00B60797" w:rsidRPr="00D62F77" w:rsidRDefault="00B60797" w:rsidP="00504DB8">
            <w:pPr>
              <w:jc w:val="center"/>
              <w:rPr>
                <w:rFonts w:ascii="Times New Roman" w:hAnsi="Times New Roman"/>
              </w:rPr>
            </w:pPr>
            <w:r w:rsidRPr="00D62F77">
              <w:rPr>
                <w:rFonts w:ascii="Times New Roman" w:hAnsi="Times New Roman"/>
              </w:rPr>
              <w:t>Antiparasitic</w:t>
            </w:r>
          </w:p>
        </w:tc>
        <w:tc>
          <w:tcPr>
            <w:tcW w:w="2268" w:type="dxa"/>
            <w:gridSpan w:val="2"/>
            <w:noWrap/>
          </w:tcPr>
          <w:p w14:paraId="68961BCC"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Metronidazole</w:t>
            </w:r>
          </w:p>
        </w:tc>
        <w:tc>
          <w:tcPr>
            <w:tcW w:w="2018" w:type="dxa"/>
            <w:noWrap/>
          </w:tcPr>
          <w:p w14:paraId="61B54104"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5</w:t>
            </w:r>
          </w:p>
        </w:tc>
        <w:tc>
          <w:tcPr>
            <w:tcW w:w="1951" w:type="dxa"/>
            <w:noWrap/>
          </w:tcPr>
          <w:p w14:paraId="018C237A"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4</w:t>
            </w:r>
          </w:p>
        </w:tc>
      </w:tr>
      <w:tr w:rsidR="00B60797" w:rsidRPr="00D62F77" w14:paraId="70DD238A"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Borders>
              <w:top w:val="none" w:sz="0" w:space="0" w:color="auto"/>
              <w:bottom w:val="none" w:sz="0" w:space="0" w:color="auto"/>
            </w:tcBorders>
          </w:tcPr>
          <w:p w14:paraId="5A339AC5" w14:textId="77777777" w:rsidR="00B60797" w:rsidRPr="00D62F77" w:rsidRDefault="00B60797" w:rsidP="00504DB8">
            <w:pPr>
              <w:jc w:val="center"/>
              <w:rPr>
                <w:rFonts w:ascii="Times New Roman" w:hAnsi="Times New Roman"/>
              </w:rPr>
            </w:pPr>
            <w:proofErr w:type="spellStart"/>
            <w:r w:rsidRPr="00D62F77">
              <w:rPr>
                <w:rFonts w:ascii="Times New Roman" w:hAnsi="Times New Roman"/>
              </w:rPr>
              <w:t>Mucolytes</w:t>
            </w:r>
            <w:proofErr w:type="spellEnd"/>
          </w:p>
        </w:tc>
        <w:tc>
          <w:tcPr>
            <w:tcW w:w="2018" w:type="dxa"/>
            <w:tcBorders>
              <w:top w:val="none" w:sz="0" w:space="0" w:color="auto"/>
              <w:bottom w:val="none" w:sz="0" w:space="0" w:color="auto"/>
            </w:tcBorders>
            <w:noWrap/>
          </w:tcPr>
          <w:p w14:paraId="08C56497"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1</w:t>
            </w:r>
          </w:p>
        </w:tc>
        <w:tc>
          <w:tcPr>
            <w:tcW w:w="1951" w:type="dxa"/>
            <w:tcBorders>
              <w:top w:val="none" w:sz="0" w:space="0" w:color="auto"/>
              <w:bottom w:val="none" w:sz="0" w:space="0" w:color="auto"/>
            </w:tcBorders>
            <w:noWrap/>
          </w:tcPr>
          <w:p w14:paraId="17B0B359"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1</w:t>
            </w:r>
          </w:p>
        </w:tc>
      </w:tr>
      <w:tr w:rsidR="00B60797" w:rsidRPr="00D62F77" w14:paraId="190782E4"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Pr>
          <w:p w14:paraId="6EA94689" w14:textId="77777777" w:rsidR="00B60797" w:rsidRPr="00D62F77" w:rsidRDefault="00B60797" w:rsidP="00504DB8">
            <w:pPr>
              <w:jc w:val="center"/>
              <w:rPr>
                <w:rFonts w:ascii="Times New Roman" w:hAnsi="Times New Roman"/>
              </w:rPr>
            </w:pPr>
            <w:r w:rsidRPr="00D62F77">
              <w:rPr>
                <w:rFonts w:ascii="Times New Roman" w:hAnsi="Times New Roman"/>
              </w:rPr>
              <w:t>PPI</w:t>
            </w:r>
          </w:p>
        </w:tc>
        <w:tc>
          <w:tcPr>
            <w:tcW w:w="2018" w:type="dxa"/>
            <w:noWrap/>
          </w:tcPr>
          <w:p w14:paraId="6F03FB10"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12</w:t>
            </w:r>
          </w:p>
        </w:tc>
        <w:tc>
          <w:tcPr>
            <w:tcW w:w="1951" w:type="dxa"/>
            <w:noWrap/>
          </w:tcPr>
          <w:p w14:paraId="06C39A6A"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10</w:t>
            </w:r>
          </w:p>
        </w:tc>
      </w:tr>
      <w:tr w:rsidR="00B60797" w:rsidRPr="00D62F77" w14:paraId="71F78256"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Borders>
              <w:top w:val="none" w:sz="0" w:space="0" w:color="auto"/>
              <w:bottom w:val="none" w:sz="0" w:space="0" w:color="auto"/>
            </w:tcBorders>
          </w:tcPr>
          <w:p w14:paraId="50352903" w14:textId="77777777" w:rsidR="00B60797" w:rsidRPr="00D62F77" w:rsidRDefault="00B60797" w:rsidP="00504DB8">
            <w:pPr>
              <w:jc w:val="center"/>
              <w:rPr>
                <w:rFonts w:ascii="Times New Roman" w:hAnsi="Times New Roman"/>
              </w:rPr>
            </w:pPr>
            <w:r w:rsidRPr="00D62F77">
              <w:rPr>
                <w:rFonts w:ascii="Times New Roman" w:hAnsi="Times New Roman"/>
              </w:rPr>
              <w:t>Anxiolytics</w:t>
            </w:r>
          </w:p>
        </w:tc>
        <w:tc>
          <w:tcPr>
            <w:tcW w:w="2018" w:type="dxa"/>
            <w:tcBorders>
              <w:top w:val="none" w:sz="0" w:space="0" w:color="auto"/>
              <w:bottom w:val="none" w:sz="0" w:space="0" w:color="auto"/>
            </w:tcBorders>
            <w:noWrap/>
          </w:tcPr>
          <w:p w14:paraId="22733D2C"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3</w:t>
            </w:r>
          </w:p>
        </w:tc>
        <w:tc>
          <w:tcPr>
            <w:tcW w:w="1951" w:type="dxa"/>
            <w:tcBorders>
              <w:top w:val="none" w:sz="0" w:space="0" w:color="auto"/>
              <w:bottom w:val="none" w:sz="0" w:space="0" w:color="auto"/>
            </w:tcBorders>
            <w:noWrap/>
          </w:tcPr>
          <w:p w14:paraId="39FE75BC"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2</w:t>
            </w:r>
          </w:p>
        </w:tc>
      </w:tr>
      <w:tr w:rsidR="00B60797" w:rsidRPr="00D62F77" w14:paraId="34FFB371"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Pr>
          <w:p w14:paraId="3F5023AA" w14:textId="77777777" w:rsidR="00B60797" w:rsidRPr="00D62F77" w:rsidRDefault="00B60797" w:rsidP="00504DB8">
            <w:pPr>
              <w:jc w:val="center"/>
              <w:rPr>
                <w:rFonts w:ascii="Times New Roman" w:hAnsi="Times New Roman"/>
              </w:rPr>
            </w:pPr>
            <w:r w:rsidRPr="00D62F77">
              <w:rPr>
                <w:rFonts w:ascii="Times New Roman" w:hAnsi="Times New Roman"/>
              </w:rPr>
              <w:t>Antihypertensive</w:t>
            </w:r>
          </w:p>
        </w:tc>
        <w:tc>
          <w:tcPr>
            <w:tcW w:w="2018" w:type="dxa"/>
            <w:noWrap/>
          </w:tcPr>
          <w:p w14:paraId="00750582"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5</w:t>
            </w:r>
          </w:p>
        </w:tc>
        <w:tc>
          <w:tcPr>
            <w:tcW w:w="1951" w:type="dxa"/>
            <w:noWrap/>
          </w:tcPr>
          <w:p w14:paraId="2460EA0D"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4</w:t>
            </w:r>
          </w:p>
        </w:tc>
      </w:tr>
      <w:tr w:rsidR="00B60797" w:rsidRPr="00D62F77" w14:paraId="461ADDBE"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70" w:type="dxa"/>
            <w:gridSpan w:val="3"/>
            <w:tcBorders>
              <w:top w:val="none" w:sz="0" w:space="0" w:color="auto"/>
              <w:bottom w:val="none" w:sz="0" w:space="0" w:color="auto"/>
            </w:tcBorders>
          </w:tcPr>
          <w:p w14:paraId="5093B64D" w14:textId="77777777" w:rsidR="00B60797" w:rsidRPr="00D62F77" w:rsidRDefault="00B60797" w:rsidP="00504DB8">
            <w:pPr>
              <w:jc w:val="center"/>
              <w:rPr>
                <w:rFonts w:ascii="Times New Roman" w:hAnsi="Times New Roman"/>
              </w:rPr>
            </w:pPr>
            <w:r w:rsidRPr="00D62F77">
              <w:rPr>
                <w:rFonts w:ascii="Times New Roman" w:hAnsi="Times New Roman"/>
              </w:rPr>
              <w:t>Anticoagulant</w:t>
            </w:r>
          </w:p>
        </w:tc>
        <w:tc>
          <w:tcPr>
            <w:tcW w:w="2018" w:type="dxa"/>
            <w:tcBorders>
              <w:top w:val="none" w:sz="0" w:space="0" w:color="auto"/>
              <w:bottom w:val="none" w:sz="0" w:space="0" w:color="auto"/>
            </w:tcBorders>
            <w:noWrap/>
          </w:tcPr>
          <w:p w14:paraId="4DC58BAA"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20</w:t>
            </w:r>
          </w:p>
        </w:tc>
        <w:tc>
          <w:tcPr>
            <w:tcW w:w="1951" w:type="dxa"/>
            <w:tcBorders>
              <w:top w:val="none" w:sz="0" w:space="0" w:color="auto"/>
              <w:bottom w:val="none" w:sz="0" w:space="0" w:color="auto"/>
            </w:tcBorders>
            <w:noWrap/>
          </w:tcPr>
          <w:p w14:paraId="2E8BD944"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16</w:t>
            </w:r>
          </w:p>
        </w:tc>
      </w:tr>
      <w:tr w:rsidR="00B60797" w:rsidRPr="00D62F77" w14:paraId="724AB6EE" w14:textId="77777777" w:rsidTr="00504DB8">
        <w:trPr>
          <w:trHeight w:val="357"/>
        </w:trPr>
        <w:tc>
          <w:tcPr>
            <w:cnfStyle w:val="001000000000" w:firstRow="0" w:lastRow="0" w:firstColumn="1" w:lastColumn="0" w:oddVBand="0" w:evenVBand="0" w:oddHBand="0" w:evenHBand="0" w:firstRowFirstColumn="0" w:firstRowLastColumn="0" w:lastRowFirstColumn="0" w:lastRowLastColumn="0"/>
            <w:tcW w:w="3087" w:type="dxa"/>
            <w:gridSpan w:val="2"/>
          </w:tcPr>
          <w:p w14:paraId="0FB9AC46" w14:textId="77777777" w:rsidR="00B60797" w:rsidRPr="00D62F77" w:rsidRDefault="00B60797" w:rsidP="00504DB8">
            <w:pPr>
              <w:jc w:val="center"/>
              <w:rPr>
                <w:rFonts w:ascii="Times New Roman" w:hAnsi="Times New Roman"/>
              </w:rPr>
            </w:pPr>
            <w:r w:rsidRPr="00D62F77">
              <w:rPr>
                <w:rFonts w:ascii="Times New Roman" w:hAnsi="Times New Roman"/>
              </w:rPr>
              <w:t>Antipyretic</w:t>
            </w:r>
          </w:p>
        </w:tc>
        <w:tc>
          <w:tcPr>
            <w:tcW w:w="1983" w:type="dxa"/>
            <w:noWrap/>
          </w:tcPr>
          <w:p w14:paraId="6112C2A2"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Paracetamol</w:t>
            </w:r>
          </w:p>
        </w:tc>
        <w:tc>
          <w:tcPr>
            <w:tcW w:w="2018" w:type="dxa"/>
            <w:noWrap/>
          </w:tcPr>
          <w:p w14:paraId="27C1AC73"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94</w:t>
            </w:r>
          </w:p>
        </w:tc>
        <w:tc>
          <w:tcPr>
            <w:tcW w:w="1951" w:type="dxa"/>
            <w:noWrap/>
          </w:tcPr>
          <w:p w14:paraId="4C018B52" w14:textId="77777777" w:rsidR="00B60797" w:rsidRPr="00D62F77" w:rsidRDefault="00B60797" w:rsidP="00504D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62F77">
              <w:rPr>
                <w:rFonts w:ascii="Times New Roman" w:hAnsi="Times New Roman"/>
              </w:rPr>
              <w:t>76</w:t>
            </w:r>
          </w:p>
        </w:tc>
      </w:tr>
      <w:tr w:rsidR="00B60797" w:rsidRPr="00D62F77" w14:paraId="0DDDE3FB" w14:textId="77777777" w:rsidTr="00504DB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087" w:type="dxa"/>
            <w:gridSpan w:val="2"/>
            <w:tcBorders>
              <w:top w:val="none" w:sz="0" w:space="0" w:color="auto"/>
              <w:bottom w:val="none" w:sz="0" w:space="0" w:color="auto"/>
            </w:tcBorders>
          </w:tcPr>
          <w:p w14:paraId="3758C91D" w14:textId="77777777" w:rsidR="00B60797" w:rsidRPr="00D62F77" w:rsidRDefault="00B60797" w:rsidP="00504DB8">
            <w:pPr>
              <w:jc w:val="center"/>
              <w:rPr>
                <w:rFonts w:ascii="Times New Roman" w:hAnsi="Times New Roman"/>
              </w:rPr>
            </w:pPr>
            <w:r w:rsidRPr="00D62F77">
              <w:rPr>
                <w:rFonts w:ascii="Times New Roman" w:hAnsi="Times New Roman"/>
              </w:rPr>
              <w:t>Antiemetic</w:t>
            </w:r>
          </w:p>
        </w:tc>
        <w:tc>
          <w:tcPr>
            <w:tcW w:w="1983" w:type="dxa"/>
            <w:tcBorders>
              <w:top w:val="none" w:sz="0" w:space="0" w:color="auto"/>
              <w:bottom w:val="none" w:sz="0" w:space="0" w:color="auto"/>
            </w:tcBorders>
            <w:noWrap/>
          </w:tcPr>
          <w:p w14:paraId="642832BA"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Domperidone</w:t>
            </w:r>
          </w:p>
        </w:tc>
        <w:tc>
          <w:tcPr>
            <w:tcW w:w="2018" w:type="dxa"/>
            <w:tcBorders>
              <w:top w:val="none" w:sz="0" w:space="0" w:color="auto"/>
              <w:bottom w:val="none" w:sz="0" w:space="0" w:color="auto"/>
            </w:tcBorders>
            <w:noWrap/>
          </w:tcPr>
          <w:p w14:paraId="752EF790"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4</w:t>
            </w:r>
          </w:p>
        </w:tc>
        <w:tc>
          <w:tcPr>
            <w:tcW w:w="1951" w:type="dxa"/>
            <w:tcBorders>
              <w:top w:val="none" w:sz="0" w:space="0" w:color="auto"/>
              <w:bottom w:val="none" w:sz="0" w:space="0" w:color="auto"/>
            </w:tcBorders>
            <w:noWrap/>
          </w:tcPr>
          <w:p w14:paraId="25DC4208" w14:textId="77777777" w:rsidR="00B60797" w:rsidRPr="00D62F77" w:rsidRDefault="00B60797" w:rsidP="00504D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62F77">
              <w:rPr>
                <w:rFonts w:ascii="Times New Roman" w:hAnsi="Times New Roman"/>
              </w:rPr>
              <w:t>3</w:t>
            </w:r>
          </w:p>
        </w:tc>
      </w:tr>
    </w:tbl>
    <w:p w14:paraId="147FDB12" w14:textId="77777777" w:rsidR="00B60797" w:rsidRDefault="00B60797" w:rsidP="00B60797">
      <w:pPr>
        <w:jc w:val="center"/>
        <w:rPr>
          <w:rFonts w:ascii="Times New Roman" w:hAnsi="Times New Roman" w:cs="Times New Roman"/>
          <w:b/>
          <w:szCs w:val="24"/>
        </w:rPr>
      </w:pPr>
    </w:p>
    <w:p w14:paraId="0803EE93" w14:textId="77777777" w:rsidR="00B60797" w:rsidRDefault="00B60797" w:rsidP="00B60797">
      <w:pPr>
        <w:jc w:val="center"/>
        <w:rPr>
          <w:rFonts w:ascii="Times New Roman" w:hAnsi="Times New Roman" w:cs="Times New Roman"/>
          <w:b/>
          <w:szCs w:val="24"/>
        </w:rPr>
      </w:pPr>
    </w:p>
    <w:p w14:paraId="19E43740" w14:textId="77777777" w:rsidR="00B60797" w:rsidRDefault="00B60797" w:rsidP="00B60797">
      <w:pPr>
        <w:jc w:val="center"/>
        <w:rPr>
          <w:rFonts w:ascii="Times New Roman" w:hAnsi="Times New Roman" w:cs="Times New Roman"/>
          <w:b/>
          <w:szCs w:val="24"/>
        </w:rPr>
      </w:pPr>
    </w:p>
    <w:p w14:paraId="63284E6A" w14:textId="77777777" w:rsidR="00B60797" w:rsidRDefault="00B60797" w:rsidP="00B60797">
      <w:pPr>
        <w:jc w:val="center"/>
        <w:rPr>
          <w:rFonts w:ascii="Times New Roman" w:hAnsi="Times New Roman" w:cs="Times New Roman"/>
          <w:b/>
          <w:szCs w:val="24"/>
        </w:rPr>
      </w:pPr>
    </w:p>
    <w:p w14:paraId="1C55333E" w14:textId="77777777" w:rsidR="00B60797" w:rsidRDefault="00B60797" w:rsidP="00B60797">
      <w:pPr>
        <w:jc w:val="center"/>
        <w:rPr>
          <w:rFonts w:ascii="Times New Roman" w:hAnsi="Times New Roman" w:cs="Times New Roman"/>
          <w:b/>
          <w:szCs w:val="24"/>
        </w:rPr>
      </w:pPr>
    </w:p>
    <w:p w14:paraId="0B9B993C" w14:textId="77777777" w:rsidR="00B60797" w:rsidRDefault="00B60797" w:rsidP="00B60797">
      <w:pPr>
        <w:jc w:val="center"/>
        <w:rPr>
          <w:rFonts w:ascii="Times New Roman" w:hAnsi="Times New Roman" w:cs="Times New Roman"/>
          <w:b/>
          <w:szCs w:val="24"/>
        </w:rPr>
      </w:pPr>
    </w:p>
    <w:p w14:paraId="6B523FC0" w14:textId="77777777" w:rsidR="00B60797" w:rsidRDefault="00B60797" w:rsidP="00B60797">
      <w:pPr>
        <w:jc w:val="center"/>
        <w:rPr>
          <w:rFonts w:ascii="Times New Roman" w:hAnsi="Times New Roman" w:cs="Times New Roman"/>
          <w:b/>
          <w:szCs w:val="24"/>
        </w:rPr>
      </w:pPr>
    </w:p>
    <w:p w14:paraId="4D64A85A" w14:textId="77777777" w:rsidR="00B60797" w:rsidRDefault="00B60797" w:rsidP="00B60797">
      <w:pPr>
        <w:jc w:val="center"/>
        <w:rPr>
          <w:rFonts w:ascii="Times New Roman" w:hAnsi="Times New Roman" w:cs="Times New Roman"/>
          <w:b/>
          <w:szCs w:val="24"/>
        </w:rPr>
      </w:pPr>
    </w:p>
    <w:p w14:paraId="299B6B6C" w14:textId="77777777" w:rsidR="00B60797" w:rsidRDefault="00B60797" w:rsidP="00B60797">
      <w:pPr>
        <w:jc w:val="center"/>
        <w:rPr>
          <w:rFonts w:ascii="Times New Roman" w:hAnsi="Times New Roman" w:cs="Times New Roman"/>
          <w:b/>
          <w:szCs w:val="24"/>
        </w:rPr>
      </w:pPr>
    </w:p>
    <w:p w14:paraId="4A74E932" w14:textId="77777777" w:rsidR="00B60797" w:rsidRDefault="00B60797" w:rsidP="00B60797">
      <w:pPr>
        <w:jc w:val="center"/>
        <w:rPr>
          <w:rFonts w:ascii="Times New Roman" w:hAnsi="Times New Roman" w:cs="Times New Roman"/>
          <w:b/>
          <w:szCs w:val="24"/>
        </w:rPr>
      </w:pPr>
    </w:p>
    <w:p w14:paraId="022310A3" w14:textId="77777777" w:rsidR="00B60797" w:rsidRDefault="00B60797" w:rsidP="00B60797">
      <w:pPr>
        <w:jc w:val="center"/>
        <w:rPr>
          <w:rFonts w:ascii="Times New Roman" w:hAnsi="Times New Roman" w:cs="Times New Roman"/>
          <w:b/>
          <w:szCs w:val="24"/>
        </w:rPr>
      </w:pPr>
    </w:p>
    <w:p w14:paraId="1641FF28" w14:textId="77777777" w:rsidR="00B60797" w:rsidRDefault="00B60797" w:rsidP="00B60797">
      <w:pPr>
        <w:jc w:val="center"/>
        <w:rPr>
          <w:rFonts w:ascii="Times New Roman" w:hAnsi="Times New Roman" w:cs="Times New Roman"/>
          <w:b/>
          <w:szCs w:val="24"/>
        </w:rPr>
      </w:pPr>
    </w:p>
    <w:p w14:paraId="7CE64F03" w14:textId="77777777" w:rsidR="00B60797" w:rsidRDefault="00B60797" w:rsidP="00B60797">
      <w:pPr>
        <w:jc w:val="center"/>
        <w:rPr>
          <w:rFonts w:ascii="Times New Roman" w:hAnsi="Times New Roman" w:cs="Times New Roman"/>
          <w:b/>
          <w:szCs w:val="24"/>
        </w:rPr>
      </w:pPr>
    </w:p>
    <w:p w14:paraId="2A7220C0" w14:textId="77777777" w:rsidR="00B60797" w:rsidRDefault="00B60797" w:rsidP="00B60797">
      <w:pPr>
        <w:jc w:val="center"/>
        <w:rPr>
          <w:rFonts w:ascii="Times New Roman" w:hAnsi="Times New Roman" w:cs="Times New Roman"/>
          <w:b/>
          <w:szCs w:val="24"/>
        </w:rPr>
      </w:pPr>
    </w:p>
    <w:p w14:paraId="775F268F" w14:textId="77777777" w:rsidR="00B60797" w:rsidRDefault="00B60797" w:rsidP="00B60797">
      <w:pPr>
        <w:jc w:val="center"/>
        <w:rPr>
          <w:rFonts w:ascii="Times New Roman" w:hAnsi="Times New Roman" w:cs="Times New Roman"/>
          <w:b/>
          <w:szCs w:val="24"/>
        </w:rPr>
      </w:pPr>
    </w:p>
    <w:p w14:paraId="185740BA" w14:textId="77777777" w:rsidR="00B60797" w:rsidRDefault="00B60797" w:rsidP="00B60797">
      <w:pPr>
        <w:jc w:val="center"/>
        <w:rPr>
          <w:rFonts w:ascii="Times New Roman" w:hAnsi="Times New Roman" w:cs="Times New Roman"/>
          <w:b/>
          <w:szCs w:val="24"/>
        </w:rPr>
      </w:pPr>
    </w:p>
    <w:p w14:paraId="665ACDF3" w14:textId="055AEAC3" w:rsidR="00B60797" w:rsidRPr="00CE43B5" w:rsidRDefault="00B60797" w:rsidP="00B60797">
      <w:pPr>
        <w:jc w:val="center"/>
        <w:rPr>
          <w:rFonts w:ascii="Times New Roman" w:hAnsi="Times New Roman" w:cs="Times New Roman"/>
          <w:b/>
          <w:szCs w:val="24"/>
        </w:rPr>
      </w:pPr>
    </w:p>
    <w:p w14:paraId="449BCDD3" w14:textId="77777777" w:rsidR="00B60797" w:rsidRDefault="00B60797" w:rsidP="00B60797">
      <w:pPr>
        <w:spacing w:after="0" w:line="360" w:lineRule="auto"/>
        <w:rPr>
          <w:color w:val="000000" w:themeColor="text1"/>
          <w:sz w:val="24"/>
          <w:szCs w:val="24"/>
        </w:rPr>
        <w:sectPr w:rsidR="00B60797" w:rsidSect="00CE43B5">
          <w:pgSz w:w="11909" w:h="16834" w:code="9"/>
          <w:pgMar w:top="864" w:right="864" w:bottom="864" w:left="864" w:header="720" w:footer="720" w:gutter="0"/>
          <w:cols w:space="720"/>
          <w:docGrid w:linePitch="360"/>
        </w:sectPr>
      </w:pPr>
    </w:p>
    <w:p w14:paraId="2833FCBB" w14:textId="77777777" w:rsidR="00B60797" w:rsidRDefault="00B60797" w:rsidP="00B60797">
      <w:pPr>
        <w:spacing w:after="0" w:line="240" w:lineRule="auto"/>
        <w:jc w:val="both"/>
        <w:rPr>
          <w:rFonts w:ascii="Times New Roman" w:hAnsi="Times New Roman" w:cs="Times New Roman"/>
          <w:i/>
          <w:color w:val="000000" w:themeColor="text1"/>
        </w:rPr>
      </w:pPr>
    </w:p>
    <w:p w14:paraId="6D736D0B" w14:textId="77777777" w:rsidR="00B60797" w:rsidRDefault="00B60797" w:rsidP="00B60797">
      <w:pPr>
        <w:spacing w:after="0" w:line="240" w:lineRule="auto"/>
        <w:jc w:val="both"/>
        <w:rPr>
          <w:rFonts w:ascii="Times New Roman" w:hAnsi="Times New Roman" w:cs="Times New Roman"/>
          <w:i/>
          <w:color w:val="000000" w:themeColor="text1"/>
        </w:rPr>
      </w:pPr>
    </w:p>
    <w:p w14:paraId="002B3A68" w14:textId="77777777" w:rsidR="00B60797" w:rsidRDefault="00B60797" w:rsidP="00B60797">
      <w:pPr>
        <w:spacing w:after="0" w:line="240" w:lineRule="auto"/>
        <w:jc w:val="both"/>
        <w:rPr>
          <w:rFonts w:ascii="Times New Roman" w:hAnsi="Times New Roman" w:cs="Times New Roman"/>
          <w:i/>
          <w:color w:val="000000" w:themeColor="text1"/>
        </w:rPr>
      </w:pPr>
    </w:p>
    <w:p w14:paraId="156C618E" w14:textId="77777777" w:rsidR="00B60797" w:rsidRDefault="00B60797" w:rsidP="00B60797">
      <w:pPr>
        <w:spacing w:after="0" w:line="240" w:lineRule="auto"/>
        <w:jc w:val="both"/>
        <w:rPr>
          <w:rFonts w:ascii="Times New Roman" w:hAnsi="Times New Roman" w:cs="Times New Roman"/>
          <w:i/>
          <w:color w:val="000000" w:themeColor="text1"/>
        </w:rPr>
      </w:pPr>
    </w:p>
    <w:p w14:paraId="79E739C9" w14:textId="77777777" w:rsidR="00B60797" w:rsidRDefault="00B60797" w:rsidP="00B60797">
      <w:pPr>
        <w:spacing w:after="0" w:line="240" w:lineRule="auto"/>
        <w:jc w:val="both"/>
        <w:rPr>
          <w:rFonts w:ascii="Times New Roman" w:hAnsi="Times New Roman" w:cs="Times New Roman"/>
          <w:i/>
          <w:color w:val="000000" w:themeColor="text1"/>
        </w:rPr>
      </w:pPr>
    </w:p>
    <w:p w14:paraId="36A0BAE1" w14:textId="77777777" w:rsidR="00B60797" w:rsidRDefault="00B60797" w:rsidP="00B60797">
      <w:pPr>
        <w:spacing w:after="0" w:line="240" w:lineRule="auto"/>
        <w:jc w:val="both"/>
        <w:rPr>
          <w:rFonts w:ascii="Times New Roman" w:hAnsi="Times New Roman" w:cs="Times New Roman"/>
          <w:i/>
          <w:color w:val="000000" w:themeColor="text1"/>
        </w:rPr>
      </w:pPr>
    </w:p>
    <w:p w14:paraId="54D3C948" w14:textId="77777777" w:rsidR="00B60797" w:rsidRDefault="00B60797" w:rsidP="00B60797">
      <w:pPr>
        <w:spacing w:after="0" w:line="240" w:lineRule="auto"/>
        <w:jc w:val="both"/>
        <w:rPr>
          <w:rFonts w:ascii="Times New Roman" w:hAnsi="Times New Roman" w:cs="Times New Roman"/>
          <w:i/>
          <w:color w:val="000000" w:themeColor="text1"/>
        </w:rPr>
      </w:pPr>
    </w:p>
    <w:p w14:paraId="62278A9E" w14:textId="77777777" w:rsidR="00B60797" w:rsidRDefault="00B60797" w:rsidP="00B60797">
      <w:pPr>
        <w:spacing w:after="0" w:line="240" w:lineRule="auto"/>
        <w:jc w:val="both"/>
        <w:rPr>
          <w:rFonts w:ascii="Times New Roman" w:hAnsi="Times New Roman" w:cs="Times New Roman"/>
          <w:i/>
          <w:color w:val="000000" w:themeColor="text1"/>
        </w:rPr>
      </w:pPr>
    </w:p>
    <w:p w14:paraId="1CD38981" w14:textId="77777777" w:rsidR="00B60797" w:rsidRDefault="00B60797" w:rsidP="00B60797">
      <w:pPr>
        <w:spacing w:after="0" w:line="240" w:lineRule="auto"/>
        <w:jc w:val="both"/>
        <w:rPr>
          <w:rFonts w:ascii="Times New Roman" w:hAnsi="Times New Roman" w:cs="Times New Roman"/>
          <w:i/>
          <w:color w:val="000000" w:themeColor="text1"/>
        </w:rPr>
      </w:pPr>
    </w:p>
    <w:p w14:paraId="3F922CF6" w14:textId="77777777" w:rsidR="00B60797" w:rsidRDefault="00B60797" w:rsidP="00B60797">
      <w:pPr>
        <w:spacing w:after="0" w:line="240" w:lineRule="auto"/>
        <w:jc w:val="both"/>
        <w:rPr>
          <w:rFonts w:ascii="Times New Roman" w:hAnsi="Times New Roman" w:cs="Times New Roman"/>
          <w:i/>
          <w:color w:val="000000" w:themeColor="text1"/>
        </w:rPr>
      </w:pPr>
    </w:p>
    <w:p w14:paraId="077D33AF" w14:textId="77777777" w:rsidR="00B60797" w:rsidRDefault="00B60797" w:rsidP="00B60797">
      <w:pPr>
        <w:spacing w:after="0" w:line="240" w:lineRule="auto"/>
        <w:jc w:val="both"/>
        <w:rPr>
          <w:rFonts w:ascii="Times New Roman" w:hAnsi="Times New Roman" w:cs="Times New Roman"/>
          <w:i/>
          <w:color w:val="000000" w:themeColor="text1"/>
        </w:rPr>
      </w:pPr>
    </w:p>
    <w:p w14:paraId="1F460683" w14:textId="77777777" w:rsidR="00B60797" w:rsidRDefault="00B60797" w:rsidP="00B60797">
      <w:pPr>
        <w:spacing w:after="0" w:line="240" w:lineRule="auto"/>
        <w:jc w:val="both"/>
        <w:rPr>
          <w:rFonts w:ascii="Times New Roman" w:hAnsi="Times New Roman" w:cs="Times New Roman"/>
          <w:i/>
          <w:color w:val="000000" w:themeColor="text1"/>
        </w:rPr>
      </w:pPr>
    </w:p>
    <w:p w14:paraId="01AEBCFC" w14:textId="77777777" w:rsidR="00B60797" w:rsidRDefault="00B60797" w:rsidP="00B60797">
      <w:pPr>
        <w:spacing w:after="0" w:line="240" w:lineRule="auto"/>
        <w:jc w:val="both"/>
        <w:rPr>
          <w:rFonts w:ascii="Times New Roman" w:hAnsi="Times New Roman" w:cs="Times New Roman"/>
          <w:i/>
          <w:color w:val="000000" w:themeColor="text1"/>
        </w:rPr>
      </w:pPr>
    </w:p>
    <w:p w14:paraId="0EA36A88" w14:textId="77777777" w:rsidR="00B60797" w:rsidRDefault="00B60797" w:rsidP="00B60797">
      <w:pPr>
        <w:spacing w:after="0" w:line="240" w:lineRule="auto"/>
        <w:jc w:val="both"/>
        <w:rPr>
          <w:rFonts w:ascii="Times New Roman" w:hAnsi="Times New Roman" w:cs="Times New Roman"/>
          <w:i/>
          <w:color w:val="000000" w:themeColor="text1"/>
        </w:rPr>
      </w:pPr>
    </w:p>
    <w:p w14:paraId="1C0B27A0" w14:textId="77777777" w:rsidR="00B60797" w:rsidRDefault="00B60797" w:rsidP="00B60797">
      <w:pPr>
        <w:spacing w:after="0" w:line="240" w:lineRule="auto"/>
        <w:jc w:val="both"/>
        <w:rPr>
          <w:rFonts w:ascii="Times New Roman" w:hAnsi="Times New Roman" w:cs="Times New Roman"/>
          <w:i/>
          <w:color w:val="000000" w:themeColor="text1"/>
        </w:rPr>
      </w:pPr>
    </w:p>
    <w:p w14:paraId="446929D5" w14:textId="77777777" w:rsidR="00B60797" w:rsidRDefault="00B60797" w:rsidP="00B60797">
      <w:pPr>
        <w:spacing w:after="0" w:line="240" w:lineRule="auto"/>
        <w:jc w:val="both"/>
        <w:rPr>
          <w:rFonts w:ascii="Times New Roman" w:hAnsi="Times New Roman" w:cs="Times New Roman"/>
          <w:i/>
          <w:color w:val="000000" w:themeColor="text1"/>
        </w:rPr>
      </w:pPr>
    </w:p>
    <w:p w14:paraId="0DDD9581" w14:textId="77777777" w:rsidR="00B60797" w:rsidRDefault="00B60797" w:rsidP="00B60797">
      <w:pPr>
        <w:spacing w:after="0" w:line="240" w:lineRule="auto"/>
        <w:jc w:val="both"/>
        <w:rPr>
          <w:rFonts w:ascii="Times New Roman" w:hAnsi="Times New Roman" w:cs="Times New Roman"/>
          <w:i/>
          <w:color w:val="000000" w:themeColor="text1"/>
        </w:rPr>
      </w:pPr>
    </w:p>
    <w:p w14:paraId="5EAAE076" w14:textId="77777777" w:rsidR="00B60797" w:rsidRDefault="00B60797" w:rsidP="00B60797">
      <w:pPr>
        <w:spacing w:after="0" w:line="240" w:lineRule="auto"/>
        <w:jc w:val="both"/>
        <w:rPr>
          <w:rFonts w:ascii="Times New Roman" w:hAnsi="Times New Roman" w:cs="Times New Roman"/>
          <w:i/>
          <w:color w:val="000000" w:themeColor="text1"/>
        </w:rPr>
      </w:pPr>
    </w:p>
    <w:p w14:paraId="1C35142F" w14:textId="77777777" w:rsidR="00B60797" w:rsidRDefault="00B60797" w:rsidP="00B60797">
      <w:pPr>
        <w:spacing w:after="0" w:line="240" w:lineRule="auto"/>
        <w:jc w:val="both"/>
        <w:rPr>
          <w:rFonts w:ascii="Times New Roman" w:hAnsi="Times New Roman" w:cs="Times New Roman"/>
          <w:i/>
          <w:color w:val="000000" w:themeColor="text1"/>
        </w:rPr>
      </w:pPr>
    </w:p>
    <w:p w14:paraId="213D6989" w14:textId="77777777" w:rsidR="00B60797" w:rsidRDefault="00B60797" w:rsidP="00B60797">
      <w:pPr>
        <w:spacing w:after="0" w:line="240" w:lineRule="auto"/>
        <w:jc w:val="both"/>
        <w:rPr>
          <w:rFonts w:ascii="Times New Roman" w:hAnsi="Times New Roman" w:cs="Times New Roman"/>
          <w:i/>
          <w:color w:val="000000" w:themeColor="text1"/>
        </w:rPr>
      </w:pPr>
    </w:p>
    <w:p w14:paraId="2CC695A1" w14:textId="77777777" w:rsidR="00B60797" w:rsidRDefault="00B60797" w:rsidP="00B60797">
      <w:pPr>
        <w:spacing w:after="0" w:line="240" w:lineRule="auto"/>
        <w:jc w:val="both"/>
        <w:rPr>
          <w:rFonts w:ascii="Times New Roman" w:hAnsi="Times New Roman" w:cs="Times New Roman"/>
          <w:i/>
          <w:color w:val="000000" w:themeColor="text1"/>
        </w:rPr>
      </w:pPr>
    </w:p>
    <w:p w14:paraId="5F3AA91B" w14:textId="77777777" w:rsidR="00B60797" w:rsidRDefault="00B60797" w:rsidP="00B60797">
      <w:pPr>
        <w:spacing w:after="0" w:line="240" w:lineRule="auto"/>
        <w:jc w:val="both"/>
        <w:rPr>
          <w:rFonts w:ascii="Times New Roman" w:hAnsi="Times New Roman" w:cs="Times New Roman"/>
          <w:i/>
          <w:color w:val="000000" w:themeColor="text1"/>
        </w:rPr>
      </w:pPr>
    </w:p>
    <w:p w14:paraId="1FB575FA" w14:textId="77777777" w:rsidR="00B60797" w:rsidRDefault="00B60797" w:rsidP="00B60797">
      <w:pPr>
        <w:spacing w:after="0" w:line="240" w:lineRule="auto"/>
        <w:jc w:val="both"/>
        <w:rPr>
          <w:rFonts w:ascii="Times New Roman" w:hAnsi="Times New Roman" w:cs="Times New Roman"/>
          <w:i/>
          <w:color w:val="000000" w:themeColor="text1"/>
        </w:rPr>
      </w:pPr>
    </w:p>
    <w:p w14:paraId="4F2E1424" w14:textId="68765C07" w:rsidR="00B60797" w:rsidRDefault="00B60797" w:rsidP="00B60797">
      <w:pPr>
        <w:spacing w:after="0" w:line="240" w:lineRule="auto"/>
        <w:jc w:val="both"/>
        <w:rPr>
          <w:rFonts w:ascii="Times New Roman" w:hAnsi="Times New Roman" w:cs="Times New Roman"/>
          <w:i/>
          <w:color w:val="000000" w:themeColor="text1"/>
        </w:rPr>
        <w:sectPr w:rsidR="00B60797" w:rsidSect="000643EE">
          <w:type w:val="continuous"/>
          <w:pgSz w:w="11909" w:h="16834" w:code="9"/>
          <w:pgMar w:top="864" w:right="864" w:bottom="864" w:left="864" w:header="720" w:footer="720" w:gutter="0"/>
          <w:cols w:num="2" w:space="709"/>
          <w:docGrid w:linePitch="360"/>
        </w:sectPr>
      </w:pPr>
    </w:p>
    <w:p w14:paraId="1C629884" w14:textId="77777777" w:rsidR="00B60797" w:rsidRPr="000643EE" w:rsidRDefault="00B60797" w:rsidP="00B60797">
      <w:pPr>
        <w:spacing w:after="0" w:line="240" w:lineRule="auto"/>
        <w:jc w:val="both"/>
        <w:rPr>
          <w:rFonts w:ascii="Times New Roman" w:hAnsi="Times New Roman" w:cs="Times New Roman"/>
          <w:i/>
          <w:color w:val="000000" w:themeColor="text1"/>
        </w:rPr>
      </w:pPr>
      <w:r w:rsidRPr="000643EE">
        <w:rPr>
          <w:rFonts w:ascii="Times New Roman" w:hAnsi="Times New Roman" w:cs="Times New Roman"/>
          <w:i/>
          <w:color w:val="000000" w:themeColor="text1"/>
        </w:rPr>
        <w:t>Antihistamines</w:t>
      </w:r>
    </w:p>
    <w:p w14:paraId="0D81BE4C" w14:textId="77777777" w:rsidR="00B60797" w:rsidRPr="000643EE" w:rsidRDefault="00B60797" w:rsidP="00B60797">
      <w:pPr>
        <w:spacing w:after="0" w:line="240" w:lineRule="auto"/>
        <w:jc w:val="both"/>
        <w:rPr>
          <w:rFonts w:ascii="Times New Roman" w:hAnsi="Times New Roman" w:cs="Times New Roman"/>
          <w:color w:val="000000" w:themeColor="text1"/>
        </w:rPr>
      </w:pPr>
      <w:r w:rsidRPr="000643EE">
        <w:rPr>
          <w:rFonts w:ascii="Times New Roman" w:hAnsi="Times New Roman" w:cs="Times New Roman"/>
          <w:color w:val="000000" w:themeColor="text1"/>
        </w:rPr>
        <w:t xml:space="preserve">Mostly used antihistamine was Fexofenadine; </w:t>
      </w:r>
      <w:proofErr w:type="gramStart"/>
      <w:r w:rsidRPr="000643EE">
        <w:rPr>
          <w:rFonts w:ascii="Times New Roman" w:hAnsi="Times New Roman" w:cs="Times New Roman"/>
          <w:color w:val="000000" w:themeColor="text1"/>
        </w:rPr>
        <w:t>however</w:t>
      </w:r>
      <w:proofErr w:type="gramEnd"/>
      <w:r w:rsidRPr="000643EE">
        <w:rPr>
          <w:rFonts w:ascii="Times New Roman" w:hAnsi="Times New Roman" w:cs="Times New Roman"/>
          <w:color w:val="000000" w:themeColor="text1"/>
        </w:rPr>
        <w:t xml:space="preserve"> Rupatadine and </w:t>
      </w:r>
      <w:proofErr w:type="spellStart"/>
      <w:r w:rsidRPr="000643EE">
        <w:rPr>
          <w:rFonts w:ascii="Times New Roman" w:hAnsi="Times New Roman" w:cs="Times New Roman"/>
          <w:color w:val="000000" w:themeColor="text1"/>
        </w:rPr>
        <w:t>Ebastin</w:t>
      </w:r>
      <w:proofErr w:type="spellEnd"/>
      <w:r w:rsidRPr="000643EE">
        <w:rPr>
          <w:rFonts w:ascii="Times New Roman" w:hAnsi="Times New Roman" w:cs="Times New Roman"/>
          <w:color w:val="000000" w:themeColor="text1"/>
        </w:rPr>
        <w:t xml:space="preserve"> were occasionally prescribed. Antihistamines were prescribed in 21 cases (34%) of hospitalized patients (Fig. 2b). One of the highest prescribed drug classes are Antihistamine (46%) found in 56 prescriptions of non-hospitalized patients (Fig. 2a).</w:t>
      </w:r>
    </w:p>
    <w:p w14:paraId="456E21E1" w14:textId="77777777" w:rsidR="00B60797" w:rsidRPr="00D72054" w:rsidRDefault="00B60797" w:rsidP="00B60797">
      <w:pPr>
        <w:spacing w:after="0" w:line="240" w:lineRule="auto"/>
        <w:jc w:val="both"/>
        <w:rPr>
          <w:rFonts w:ascii="Times New Roman" w:hAnsi="Times New Roman" w:cs="Times New Roman"/>
          <w:i/>
          <w:color w:val="000000" w:themeColor="text1"/>
          <w:sz w:val="12"/>
        </w:rPr>
      </w:pPr>
    </w:p>
    <w:p w14:paraId="2D169E63" w14:textId="77777777" w:rsidR="00B60797" w:rsidRPr="000643EE" w:rsidRDefault="00B60797" w:rsidP="00B60797">
      <w:pPr>
        <w:spacing w:after="0" w:line="240" w:lineRule="auto"/>
        <w:jc w:val="both"/>
        <w:rPr>
          <w:rFonts w:ascii="Times New Roman" w:hAnsi="Times New Roman" w:cs="Times New Roman"/>
          <w:i/>
          <w:color w:val="000000" w:themeColor="text1"/>
        </w:rPr>
      </w:pPr>
      <w:r w:rsidRPr="000643EE">
        <w:rPr>
          <w:rFonts w:ascii="Times New Roman" w:hAnsi="Times New Roman" w:cs="Times New Roman"/>
          <w:i/>
          <w:color w:val="000000" w:themeColor="text1"/>
        </w:rPr>
        <w:t>Anti</w:t>
      </w:r>
      <w:r>
        <w:rPr>
          <w:rFonts w:ascii="Times New Roman" w:hAnsi="Times New Roman" w:cs="Times New Roman"/>
          <w:i/>
          <w:color w:val="000000" w:themeColor="text1"/>
        </w:rPr>
        <w:t>coagulants</w:t>
      </w:r>
    </w:p>
    <w:p w14:paraId="0BDF1E25" w14:textId="77777777" w:rsidR="005F4C21" w:rsidRPr="000643EE" w:rsidRDefault="00B60797" w:rsidP="005F4C21">
      <w:pPr>
        <w:spacing w:after="0" w:line="240" w:lineRule="auto"/>
        <w:jc w:val="both"/>
        <w:rPr>
          <w:rFonts w:ascii="Times New Roman" w:hAnsi="Times New Roman" w:cs="Times New Roman"/>
          <w:color w:val="000000" w:themeColor="text1"/>
        </w:rPr>
      </w:pPr>
      <w:r w:rsidRPr="000643EE">
        <w:rPr>
          <w:rFonts w:ascii="Times New Roman" w:hAnsi="Times New Roman" w:cs="Times New Roman"/>
          <w:color w:val="000000" w:themeColor="text1"/>
        </w:rPr>
        <w:t>The main anticoagulant drugs used were Rivaroxaban and Enoxaparin; however, Betrixaban</w:t>
      </w:r>
      <w:r>
        <w:rPr>
          <w:rFonts w:ascii="Times New Roman" w:hAnsi="Times New Roman" w:cs="Times New Roman"/>
          <w:color w:val="000000" w:themeColor="text1"/>
        </w:rPr>
        <w:t xml:space="preserve"> </w:t>
      </w:r>
      <w:r w:rsidRPr="000643EE">
        <w:rPr>
          <w:rFonts w:ascii="Times New Roman" w:hAnsi="Times New Roman" w:cs="Times New Roman"/>
          <w:color w:val="000000" w:themeColor="text1"/>
        </w:rPr>
        <w:t>was also given in few cases. In th</w:t>
      </w:r>
      <w:r>
        <w:rPr>
          <w:rFonts w:ascii="Times New Roman" w:hAnsi="Times New Roman" w:cs="Times New Roman"/>
          <w:color w:val="000000" w:themeColor="text1"/>
        </w:rPr>
        <w:t xml:space="preserve">e case of hospitalized patients, </w:t>
      </w:r>
      <w:r w:rsidRPr="000643EE">
        <w:rPr>
          <w:rFonts w:ascii="Times New Roman" w:hAnsi="Times New Roman" w:cs="Times New Roman"/>
          <w:color w:val="000000" w:themeColor="text1"/>
        </w:rPr>
        <w:t xml:space="preserve">anticoagulants were used most </w:t>
      </w:r>
      <w:r w:rsidR="005F4C21" w:rsidRPr="000643EE">
        <w:rPr>
          <w:rFonts w:ascii="Times New Roman" w:hAnsi="Times New Roman" w:cs="Times New Roman"/>
          <w:color w:val="000000" w:themeColor="text1"/>
        </w:rPr>
        <w:t>frequently covering 34 prescriptions among 61 prescriptions (56%) (Fig. 2b).</w:t>
      </w:r>
      <w:r w:rsidR="005F4C21">
        <w:rPr>
          <w:rFonts w:ascii="Times New Roman" w:hAnsi="Times New Roman" w:cs="Times New Roman"/>
          <w:color w:val="000000" w:themeColor="text1"/>
        </w:rPr>
        <w:t xml:space="preserve"> </w:t>
      </w:r>
      <w:r w:rsidR="005F4C21" w:rsidRPr="000643EE">
        <w:rPr>
          <w:rFonts w:ascii="Times New Roman" w:hAnsi="Times New Roman" w:cs="Times New Roman"/>
          <w:color w:val="000000" w:themeColor="text1"/>
        </w:rPr>
        <w:t>For non-hospitalized ones, anticoagulants were prescribed in 20 cases (16%) (Fig. 2a).</w:t>
      </w:r>
    </w:p>
    <w:p w14:paraId="09941F87" w14:textId="77777777" w:rsidR="005F4C21" w:rsidRPr="0021240E" w:rsidRDefault="005F4C21" w:rsidP="005F4C21">
      <w:pPr>
        <w:spacing w:after="0" w:line="240" w:lineRule="auto"/>
        <w:jc w:val="both"/>
        <w:rPr>
          <w:rFonts w:ascii="Times New Roman" w:hAnsi="Times New Roman" w:cs="Times New Roman"/>
          <w:i/>
          <w:color w:val="000000" w:themeColor="text1"/>
          <w:sz w:val="12"/>
        </w:rPr>
      </w:pPr>
    </w:p>
    <w:p w14:paraId="128A265C" w14:textId="77777777" w:rsidR="005F4C21" w:rsidRPr="000643EE" w:rsidRDefault="005F4C21" w:rsidP="005F4C21">
      <w:pPr>
        <w:spacing w:after="0" w:line="240" w:lineRule="auto"/>
        <w:jc w:val="both"/>
        <w:rPr>
          <w:rFonts w:ascii="Times New Roman" w:hAnsi="Times New Roman" w:cs="Times New Roman"/>
          <w:i/>
          <w:color w:val="000000" w:themeColor="text1"/>
        </w:rPr>
      </w:pPr>
      <w:r w:rsidRPr="000643EE">
        <w:rPr>
          <w:rFonts w:ascii="Times New Roman" w:hAnsi="Times New Roman" w:cs="Times New Roman"/>
          <w:i/>
          <w:color w:val="000000" w:themeColor="text1"/>
        </w:rPr>
        <w:t>Bronchodilators</w:t>
      </w:r>
    </w:p>
    <w:p w14:paraId="58EE4042" w14:textId="77777777" w:rsidR="005F4C21" w:rsidRDefault="005F4C21" w:rsidP="005F4C21">
      <w:pPr>
        <w:spacing w:after="0" w:line="240" w:lineRule="auto"/>
        <w:jc w:val="both"/>
        <w:rPr>
          <w:rFonts w:ascii="Times New Roman" w:hAnsi="Times New Roman" w:cs="Times New Roman"/>
          <w:color w:val="000000" w:themeColor="text1"/>
        </w:rPr>
        <w:sectPr w:rsidR="005F4C21" w:rsidSect="005F4C21">
          <w:pgSz w:w="11909" w:h="16834" w:code="9"/>
          <w:pgMar w:top="864" w:right="864" w:bottom="864" w:left="864" w:header="720" w:footer="720" w:gutter="0"/>
          <w:cols w:num="2" w:space="709"/>
          <w:docGrid w:linePitch="360"/>
        </w:sectPr>
      </w:pPr>
      <w:r w:rsidRPr="000643EE">
        <w:rPr>
          <w:rFonts w:ascii="Times New Roman" w:hAnsi="Times New Roman" w:cs="Times New Roman"/>
          <w:color w:val="000000" w:themeColor="text1"/>
        </w:rPr>
        <w:t xml:space="preserve">Montelukast was the most commonly used bronchodilator. Other used bronchodilators include Salbutamol, </w:t>
      </w:r>
      <w:proofErr w:type="spellStart"/>
      <w:r w:rsidRPr="000643EE">
        <w:rPr>
          <w:rFonts w:ascii="Times New Roman" w:hAnsi="Times New Roman" w:cs="Times New Roman"/>
          <w:color w:val="000000" w:themeColor="text1"/>
        </w:rPr>
        <w:t>Salmetrelol</w:t>
      </w:r>
      <w:proofErr w:type="spellEnd"/>
      <w:r w:rsidRPr="000643EE">
        <w:rPr>
          <w:rFonts w:ascii="Times New Roman" w:hAnsi="Times New Roman" w:cs="Times New Roman"/>
          <w:color w:val="000000" w:themeColor="text1"/>
        </w:rPr>
        <w:t xml:space="preserve"> and Fluticasone combination, Bumetanide, Budesonide and </w:t>
      </w:r>
      <w:proofErr w:type="spellStart"/>
      <w:r w:rsidRPr="000643EE">
        <w:rPr>
          <w:rFonts w:ascii="Times New Roman" w:hAnsi="Times New Roman" w:cs="Times New Roman"/>
          <w:color w:val="000000" w:themeColor="text1"/>
        </w:rPr>
        <w:t>Doxophylline</w:t>
      </w:r>
      <w:proofErr w:type="spellEnd"/>
      <w:r w:rsidRPr="000643EE">
        <w:rPr>
          <w:rFonts w:ascii="Times New Roman" w:hAnsi="Times New Roman" w:cs="Times New Roman"/>
          <w:color w:val="000000" w:themeColor="text1"/>
        </w:rPr>
        <w:t xml:space="preserve">. Montelukast was one of the most popular drugs being in 32 prescriptions (52%) whereas other Bronchodilator use was in 23 cases (38%) in hospitalized patients (Fig. 2b). </w:t>
      </w:r>
    </w:p>
    <w:p w14:paraId="57C71A26" w14:textId="4723FD97" w:rsidR="00B60797" w:rsidRDefault="00B60797" w:rsidP="00B60797">
      <w:pPr>
        <w:spacing w:after="0" w:line="240" w:lineRule="auto"/>
        <w:jc w:val="both"/>
        <w:rPr>
          <w:rFonts w:ascii="Times New Roman" w:hAnsi="Times New Roman" w:cs="Times New Roman"/>
          <w:color w:val="000000" w:themeColor="text1"/>
        </w:rPr>
      </w:pPr>
    </w:p>
    <w:p w14:paraId="0C430A03" w14:textId="77777777" w:rsidR="00B60797" w:rsidRDefault="00B60797" w:rsidP="00B60797">
      <w:pPr>
        <w:spacing w:after="0" w:line="240" w:lineRule="auto"/>
        <w:jc w:val="both"/>
        <w:rPr>
          <w:rFonts w:ascii="Times New Roman" w:hAnsi="Times New Roman" w:cs="Times New Roman"/>
          <w:color w:val="000000" w:themeColor="text1"/>
        </w:rPr>
      </w:pPr>
    </w:p>
    <w:p w14:paraId="02E3BF47" w14:textId="33C307A8" w:rsidR="00B60797" w:rsidRDefault="00B60797" w:rsidP="00B60797">
      <w:pPr>
        <w:spacing w:after="0" w:line="240" w:lineRule="auto"/>
        <w:jc w:val="both"/>
        <w:rPr>
          <w:rFonts w:ascii="Times New Roman" w:hAnsi="Times New Roman" w:cs="Times New Roman"/>
          <w:color w:val="000000" w:themeColor="text1"/>
        </w:rPr>
      </w:pPr>
    </w:p>
    <w:p w14:paraId="5C097DF0" w14:textId="77777777" w:rsidR="005F4C21" w:rsidRDefault="005F4C21" w:rsidP="00B60797">
      <w:pPr>
        <w:spacing w:after="0" w:line="240" w:lineRule="auto"/>
        <w:jc w:val="both"/>
        <w:rPr>
          <w:rFonts w:ascii="Times New Roman" w:hAnsi="Times New Roman" w:cs="Times New Roman"/>
          <w:color w:val="000000" w:themeColor="text1"/>
        </w:rPr>
      </w:pPr>
    </w:p>
    <w:p w14:paraId="64AE471D" w14:textId="77777777" w:rsidR="00B60797" w:rsidRDefault="00B60797" w:rsidP="00B60797"/>
    <w:sectPr w:rsidR="00B60797" w:rsidSect="00843EB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eveNews-Black">
    <w:panose1 w:val="00000A00000000000000"/>
    <w:charset w:val="00"/>
    <w:family w:val="modern"/>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36"/>
    <w:rsid w:val="001D00B4"/>
    <w:rsid w:val="001E1636"/>
    <w:rsid w:val="005F4C21"/>
    <w:rsid w:val="00733F5A"/>
    <w:rsid w:val="00843EB8"/>
    <w:rsid w:val="00B04F3D"/>
    <w:rsid w:val="00B6079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70BD"/>
  <w15:chartTrackingRefBased/>
  <w15:docId w15:val="{5F42BFF9-2020-4333-8399-55FD2F34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B8"/>
    <w:rPr>
      <w:lang w:val="en-US"/>
    </w:rPr>
  </w:style>
  <w:style w:type="paragraph" w:styleId="Heading1">
    <w:name w:val="heading 1"/>
    <w:basedOn w:val="Normal"/>
    <w:next w:val="Normal"/>
    <w:link w:val="Heading1Char"/>
    <w:uiPriority w:val="9"/>
    <w:qFormat/>
    <w:rsid w:val="00B607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607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2"/>
    <w:qFormat/>
    <w:rsid w:val="00843EB8"/>
    <w:pPr>
      <w:keepNext/>
      <w:keepLines/>
      <w:spacing w:before="320" w:after="80"/>
      <w:jc w:val="both"/>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843EB8"/>
    <w:rPr>
      <w:rFonts w:ascii="Times New Roman" w:eastAsia="Times New Roman" w:hAnsi="Times New Roman" w:cs="Times New Roman"/>
      <w:b/>
      <w:sz w:val="28"/>
      <w:szCs w:val="28"/>
      <w:lang w:val="en-US"/>
    </w:rPr>
  </w:style>
  <w:style w:type="paragraph" w:customStyle="1" w:styleId="MDPI13authornames">
    <w:name w:val="MDPI_1.3_authornames"/>
    <w:next w:val="Normal"/>
    <w:qFormat/>
    <w:rsid w:val="00843EB8"/>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AuthorList">
    <w:name w:val="Author List"/>
    <w:aliases w:val="Keywords,Abstract"/>
    <w:basedOn w:val="Subtitle"/>
    <w:next w:val="Normal"/>
    <w:uiPriority w:val="1"/>
    <w:qFormat/>
    <w:rsid w:val="00B60797"/>
    <w:pPr>
      <w:numPr>
        <w:ilvl w:val="0"/>
      </w:numPr>
      <w:spacing w:before="240" w:after="240" w:line="240" w:lineRule="auto"/>
    </w:pPr>
    <w:rPr>
      <w:rFonts w:ascii="Times New Roman" w:eastAsiaTheme="minorHAnsi" w:hAnsi="Times New Roman" w:cs="Times New Roman"/>
      <w:b/>
      <w:color w:val="auto"/>
      <w:spacing w:val="0"/>
      <w:sz w:val="24"/>
      <w:szCs w:val="24"/>
    </w:rPr>
  </w:style>
  <w:style w:type="paragraph" w:styleId="Subtitle">
    <w:name w:val="Subtitle"/>
    <w:basedOn w:val="Normal"/>
    <w:next w:val="Normal"/>
    <w:link w:val="SubtitleChar"/>
    <w:uiPriority w:val="11"/>
    <w:qFormat/>
    <w:rsid w:val="00B6079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797"/>
    <w:rPr>
      <w:rFonts w:eastAsiaTheme="minorEastAsia"/>
      <w:color w:val="5A5A5A" w:themeColor="text1" w:themeTint="A5"/>
      <w:spacing w:val="15"/>
      <w:lang w:val="en-US"/>
    </w:rPr>
  </w:style>
  <w:style w:type="character" w:customStyle="1" w:styleId="Heading1Char">
    <w:name w:val="Heading 1 Char"/>
    <w:basedOn w:val="DefaultParagraphFont"/>
    <w:link w:val="Heading1"/>
    <w:uiPriority w:val="9"/>
    <w:rsid w:val="00B6079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B60797"/>
    <w:rPr>
      <w:rFonts w:asciiTheme="majorHAnsi" w:eastAsiaTheme="majorEastAsia" w:hAnsiTheme="majorHAnsi" w:cstheme="majorBidi"/>
      <w:color w:val="365F91" w:themeColor="accent1" w:themeShade="BF"/>
      <w:sz w:val="26"/>
      <w:szCs w:val="26"/>
      <w:lang w:val="en-US"/>
    </w:rPr>
  </w:style>
  <w:style w:type="character" w:customStyle="1" w:styleId="sc-provx">
    <w:name w:val="sc-provx"/>
    <w:basedOn w:val="DefaultParagraphFont"/>
    <w:rsid w:val="00B60797"/>
  </w:style>
  <w:style w:type="table" w:customStyle="1" w:styleId="PlainTable21">
    <w:name w:val="Plain Table 21"/>
    <w:basedOn w:val="TableNormal"/>
    <w:uiPriority w:val="42"/>
    <w:rsid w:val="00B60797"/>
    <w:pPr>
      <w:spacing w:after="0" w:line="240" w:lineRule="auto"/>
    </w:pPr>
    <w:rPr>
      <w:rFonts w:ascii="Calibri" w:eastAsia="SimSun" w:hAnsi="Calibri" w:cs="Times New Roman"/>
      <w:sz w:val="20"/>
      <w:szCs w:val="20"/>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2759</Words>
  <Characters>15729</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Abstract</vt:lpstr>
      <vt:lpstr>        Introduction</vt:lpstr>
      <vt:lpstr>Coronavirus, known as SARS-CoV-2 (severe acute respiratory syndrome coronavirus-</vt:lpstr>
      <vt:lpstr/>
      <vt:lpstr>As of 30 January 2020, 7736 confirmed and 12,167 suspected cases had been report</vt:lpstr>
      <vt:lpstr/>
      <vt:lpstr>Prior to sufficient availability and supply of COVID-19 vaccines, the only treat</vt:lpstr>
      <vt:lpstr>        </vt:lpstr>
      <vt:lpstr>        Materials and Methods</vt:lpstr>
      <vt:lpstr>    Study subjects, consent, and ethical aspect </vt:lpstr>
      <vt:lpstr>    The study participants were representative (184 COVID-19 patients of age 18-80 y</vt:lpstr>
      <vt:lpstr>    Collection of data</vt:lpstr>
      <vt:lpstr>    and non-hospitalized). The data collection period was from 10 March 2021 to 30 J</vt:lpstr>
      <vt:lpstr>        Results</vt:lpstr>
      <vt:lpstr>    Demographic characteristics of the patients</vt:lpstr>
      <vt:lpstr>    Among total 184 patients, 61.4% was male and 38.6% female (Figure 1a). In case o</vt:lpstr>
      <vt: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Moklesur Rahman Sarker</dc:creator>
  <cp:keywords/>
  <dc:description/>
  <cp:lastModifiedBy>Md Moklesur Rahman Sarker</cp:lastModifiedBy>
  <cp:revision>5</cp:revision>
  <dcterms:created xsi:type="dcterms:W3CDTF">2024-11-24T09:31:00Z</dcterms:created>
  <dcterms:modified xsi:type="dcterms:W3CDTF">2024-11-24T09:48:00Z</dcterms:modified>
</cp:coreProperties>
</file>